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130. LIABILITY PROVISIONS IN CERTAIN CONSTRUCTION CONTRACTS</w:t>
      </w:r>
    </w:p>
    <w:p w:rsidR="003F3435" w:rsidRDefault="0032493E">
      <w:pPr>
        <w:spacing w:line="480" w:lineRule="auto"/>
        <w:jc w:val="both"/>
      </w:pPr>
    </w:p>
    <w:p w:rsidR="003F3435" w:rsidRDefault="0032493E">
      <w:pPr>
        <w:spacing w:line="480" w:lineRule="auto"/>
        <w:ind w:firstLine="720"/>
        <w:jc w:val="both"/>
      </w:pPr>
      <w:r>
        <w:t xml:space="preserve">Sec. 130.001.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"Construction contract" means a contract or agreement made and entered into by an owner, contractor, subcontractor, registered architect, licensed engineer, land surveyor, or supplier concerning the design, construction, alteration, repair, or maintenance of a building, structure, appurtenance, road, highway, bridge, dam, levee, or other improvement to or on real property, including moving, demolition, and excavation connected with the real property.</w:t>
      </w:r>
    </w:p>
    <w:p w:rsidR="003F3435" w:rsidRDefault="0032493E">
      <w:pPr>
        <w:spacing w:line="480" w:lineRule="auto"/>
        <w:ind w:firstLine="1440"/>
        <w:jc w:val="both"/>
      </w:pPr>
      <w:r>
        <w:t xml:space="preserve">(2)</w:t>
      </w:r>
      <w:r xml:space="preserve">
        <w:t> </w:t>
      </w:r>
      <w:r xml:space="preserve">
        <w:t> </w:t>
      </w:r>
      <w:r>
        <w:t xml:space="preserve">"Land surveyor" means a registered professional land surveyor or licensed state land surveyor as those terms are defined by Section </w:t>
      </w:r>
      <w:r>
        <w:t xml:space="preserve">1071.002</w:t>
      </w:r>
      <w:r>
        <w:t xml:space="preserve">, Occupations Code.</w:t>
      </w:r>
    </w:p>
    <w:p w:rsidR="003F3435" w:rsidRDefault="0032493E">
      <w:pPr>
        <w:spacing w:line="480" w:lineRule="auto"/>
        <w:jc w:val="both"/>
      </w:pPr>
      <w:r>
        <w:t xml:space="preserve">Added by Acts 1987, 70th Leg., ch. 167, Sec. 3.14(a), eff. Sept. 1, 1987.  Amended by Acts 2001, 77th Leg., ch. 351,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306 (S.B. </w:t>
      </w:r>
      <w:hyperlink w:docLocation="table" r:id="rId14">
        <w:r>
          <w:rPr>
            <w:rStyle w:val="Hyperlink"/>
          </w:rPr>
          <w:t>687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COVENANT OR PROMISE VOID AND UNENFORCEABLE.  (a)</w:t>
      </w:r>
      <w:r xml:space="preserve">
        <w:t> </w:t>
      </w:r>
      <w:r xml:space="preserve">
        <w:t> </w:t>
      </w:r>
      <w:r>
        <w:t xml:space="preserve">A covenant or promise in, in connection with, or collateral to a construction contract is void and unenforceable if the covenant or promise provides for a contractor who is to perform the work that is the subject of the construction contract to indemnify or hold harmless a registered architect, licensed engineer, or land surveyor, or an agent, servant, or employee of a registered architect, licensed engineer, or land surveyor from liability for damage that:</w:t>
      </w:r>
    </w:p>
    <w:p w:rsidR="003F3435" w:rsidRDefault="0032493E">
      <w:pPr>
        <w:spacing w:line="480" w:lineRule="auto"/>
        <w:ind w:firstLine="1440"/>
        <w:jc w:val="both"/>
      </w:pPr>
      <w:r>
        <w:t xml:space="preserve">(1)</w:t>
      </w:r>
      <w:r xml:space="preserve">
        <w:t> </w:t>
      </w:r>
      <w:r xml:space="preserve">
        <w:t> </w:t>
      </w:r>
      <w:r>
        <w:t xml:space="preserve">is caused by or results from:</w:t>
      </w:r>
    </w:p>
    <w:p w:rsidR="003F3435" w:rsidRDefault="0032493E">
      <w:pPr>
        <w:spacing w:line="480" w:lineRule="auto"/>
        <w:ind w:firstLine="2160"/>
        <w:jc w:val="both"/>
      </w:pPr>
      <w:r>
        <w:t xml:space="preserve">(A)</w:t>
      </w:r>
      <w:r xml:space="preserve">
        <w:t> </w:t>
      </w:r>
      <w:r xml:space="preserve">
        <w:t> </w:t>
      </w:r>
      <w:r>
        <w:t xml:space="preserve">defects in plans, designs, or specifications prepared, approved, or used by the architect, engineer, or land surveyor; or</w:t>
      </w:r>
    </w:p>
    <w:p w:rsidR="003F3435" w:rsidRDefault="0032493E">
      <w:pPr>
        <w:spacing w:line="480" w:lineRule="auto"/>
        <w:ind w:firstLine="2160"/>
        <w:jc w:val="both"/>
      </w:pPr>
      <w:r>
        <w:t xml:space="preserve">(B)</w:t>
      </w:r>
      <w:r xml:space="preserve">
        <w:t> </w:t>
      </w:r>
      <w:r xml:space="preserve">
        <w:t> </w:t>
      </w:r>
      <w:r>
        <w:t xml:space="preserve">negligence of the architect, engineer, or land surveyor in the rendition or conduct of professional duties called for or arising out of the construction contract and the plans, designs, or specifications that are a part of the construction contract; and</w:t>
      </w:r>
    </w:p>
    <w:p w:rsidR="003F3435" w:rsidRDefault="0032493E">
      <w:pPr>
        <w:spacing w:line="480" w:lineRule="auto"/>
        <w:ind w:firstLine="1440"/>
        <w:jc w:val="both"/>
      </w:pPr>
      <w:r>
        <w:t xml:space="preserve">(2)</w:t>
      </w:r>
      <w:r xml:space="preserve">
        <w:t> </w:t>
      </w:r>
      <w:r xml:space="preserve">
        <w:t> </w:t>
      </w:r>
      <w:r>
        <w:t xml:space="preserve">arises from:</w:t>
      </w:r>
    </w:p>
    <w:p w:rsidR="003F3435" w:rsidRDefault="0032493E">
      <w:pPr>
        <w:spacing w:line="480" w:lineRule="auto"/>
        <w:ind w:firstLine="2160"/>
        <w:jc w:val="both"/>
      </w:pPr>
      <w:r>
        <w:t xml:space="preserve">(A)</w:t>
      </w:r>
      <w:r xml:space="preserve">
        <w:t> </w:t>
      </w:r>
      <w:r xml:space="preserve">
        <w:t> </w:t>
      </w:r>
      <w:r>
        <w:t xml:space="preserve">personal injury or death;</w:t>
      </w:r>
    </w:p>
    <w:p w:rsidR="003F3435" w:rsidRDefault="0032493E">
      <w:pPr>
        <w:spacing w:line="480" w:lineRule="auto"/>
        <w:ind w:firstLine="2160"/>
        <w:jc w:val="both"/>
      </w:pPr>
      <w:r>
        <w:t xml:space="preserve">(B)</w:t>
      </w:r>
      <w:r xml:space="preserve">
        <w:t> </w:t>
      </w:r>
      <w:r xml:space="preserve">
        <w:t> </w:t>
      </w:r>
      <w:r>
        <w:t xml:space="preserve">property injury; or</w:t>
      </w:r>
    </w:p>
    <w:p w:rsidR="003F3435" w:rsidRDefault="0032493E">
      <w:pPr>
        <w:spacing w:line="480" w:lineRule="auto"/>
        <w:ind w:firstLine="2160"/>
        <w:jc w:val="both"/>
      </w:pPr>
      <w:r>
        <w:t xml:space="preserve">(C)</w:t>
      </w:r>
      <w:r xml:space="preserve">
        <w:t> </w:t>
      </w:r>
      <w:r xml:space="preserve">
        <w:t> </w:t>
      </w:r>
      <w:r>
        <w:t xml:space="preserve">any other expense that arises from personal injury, death, or property injury.</w:t>
      </w:r>
    </w:p>
    <w:p w:rsidR="003F3435" w:rsidRDefault="0032493E">
      <w:pPr>
        <w:spacing w:line="480" w:lineRule="auto"/>
        <w:ind w:firstLine="720"/>
        <w:jc w:val="both"/>
      </w:pPr>
      <w:r>
        <w:t xml:space="preserve">(b)</w:t>
      </w:r>
      <w:r xml:space="preserve">
        <w:t> </w:t>
      </w:r>
      <w:r xml:space="preserve">
        <w:t> </w:t>
      </w:r>
      <w:r>
        <w:t xml:space="preserve">A covenant or promise in, in connection with, or collateral to a construction contract other than a contract for a single family or multifamily residence is void and unenforceable if the covenant or promise provides for a registered architect, licensed engineer, or land surveyor whose engineering, architectural, or land surveying design services are the subject of the construction contract to indemnify or hold harmless an owner or owner's agent or employee from liability for damage that is caused by or results from the negligence of an owner or an owner's agent or employee.</w:t>
      </w:r>
    </w:p>
    <w:p w:rsidR="003F3435" w:rsidRDefault="0032493E">
      <w:pPr>
        <w:spacing w:line="480" w:lineRule="auto"/>
        <w:ind w:firstLine="720"/>
        <w:jc w:val="both"/>
      </w:pPr>
      <w:r>
        <w:t xml:space="preserve">(c)</w:t>
      </w:r>
      <w:r xml:space="preserve">
        <w:t> </w:t>
      </w:r>
      <w:r xml:space="preserve">
        <w:t> </w:t>
      </w:r>
      <w:r>
        <w:t xml:space="preserve">Except as provided by Subsection (d), (e), or (f), a covenant or promise in, in connection with, or collateral to a construction contract for engineering, architectural, or land surveying services related to an improvement to real property is void and unenforceable to the extent the covenant or promise provides that a licensed engineer, registered architect, or land surveyor must defend a party, including a third party, against a claim based wholly or partly on the negligence of, fault of, or breach of contract by the owner, the owner's agent, the owner's employee, or another entity over which the owner exercises control.</w:t>
      </w:r>
      <w:r xml:space="preserve">
        <w:t> </w:t>
      </w:r>
      <w:r xml:space="preserve">
        <w:t> </w:t>
      </w:r>
      <w:r>
        <w:t xml:space="preserve">A covenant or promise in, in connection with, or collateral to a contract for engineering, architectural, or land surveying services related to an improvement to real property may provide for the reimbursement of an owner's reasonable attorney's fees in proportion to the engineer's, architect's, or land surveyor's liability.</w:t>
      </w:r>
    </w:p>
    <w:p w:rsidR="003F3435" w:rsidRDefault="0032493E">
      <w:pPr>
        <w:spacing w:line="480" w:lineRule="auto"/>
        <w:ind w:firstLine="720"/>
        <w:jc w:val="both"/>
      </w:pPr>
      <w:r>
        <w:t xml:space="preserve">(d)</w:t>
      </w:r>
      <w:r xml:space="preserve">
        <w:t> </w:t>
      </w:r>
      <w:r xml:space="preserve">
        <w:t> </w:t>
      </w:r>
      <w:r>
        <w:t xml:space="preserve">Notwithstanding Subsection (c), an owner that is a party to a contract for engineering, architectural, or land surveying services related to an improvement to real property may require in the contract that the engineer, architect, or land surveyor name the owner as an additional insured under any of the engineer's, architect's, or land surveyor's insurance coverage to the extent additional insureds are allowed under the policy and provide any defense to the owner provided by the policy to a named insured.</w:t>
      </w:r>
    </w:p>
    <w:p w:rsidR="003F3435" w:rsidRDefault="0032493E">
      <w:pPr>
        <w:spacing w:line="480" w:lineRule="auto"/>
        <w:ind w:firstLine="720"/>
        <w:jc w:val="both"/>
      </w:pPr>
      <w:r>
        <w:t xml:space="preserve">(e)</w:t>
      </w:r>
      <w:r xml:space="preserve">
        <w:t> </w:t>
      </w:r>
      <w:r xml:space="preserve">
        <w:t> </w:t>
      </w:r>
      <w:r>
        <w:t xml:space="preserve">Subsection (c) does not apply to a contract for services in which an owner contracts with an entity to provide both design and construction services.</w:t>
      </w:r>
    </w:p>
    <w:p w:rsidR="003F3435" w:rsidRDefault="0032493E">
      <w:pPr>
        <w:spacing w:line="480" w:lineRule="auto"/>
        <w:ind w:firstLine="720"/>
        <w:jc w:val="both"/>
      </w:pPr>
      <w:r>
        <w:t xml:space="preserve">(f)</w:t>
      </w:r>
      <w:r xml:space="preserve">
        <w:t> </w:t>
      </w:r>
      <w:r xml:space="preserve">
        <w:t> </w:t>
      </w:r>
      <w:r>
        <w:t xml:space="preserve">Subsection (c) does not apply to a covenant to defend a party, including a third party, for a claim of negligent hiring of the architect, engineer, or land surveyor.</w:t>
      </w:r>
    </w:p>
    <w:p w:rsidR="003F3435" w:rsidRDefault="0032493E">
      <w:pPr>
        <w:spacing w:line="480" w:lineRule="auto"/>
        <w:jc w:val="both"/>
      </w:pPr>
      <w:r>
        <w:t xml:space="preserve">Added by Acts 1987, 70th Leg., ch. 167, Sec. 3.14(a), eff. Sept. 1, 1987.  Amended by Acts 2001, 77th Leg., ch. 351,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686 (H.B. </w:t>
      </w:r>
      <w:hyperlink w:docLocation="table" r:id="rId15">
        <w:r>
          <w:rPr>
            <w:rStyle w:val="Hyperlink"/>
          </w:rPr>
          <w:t>2116</w:t>
        </w:r>
      </w:hyperlink>
      <w:r>
        <w:t xml:space="preserve">), Sec. 2, eff. September 1, 2021.</w:t>
      </w:r>
    </w:p>
    <w:p w:rsidR="003F3435" w:rsidRDefault="0032493E">
      <w:pPr>
        <w:spacing w:line="480" w:lineRule="auto"/>
        <w:ind w:firstLine="720"/>
        <w:jc w:val="both"/>
      </w:pPr>
      <w:r>
        <w:t xml:space="preserve">Acts 2025, 89th Leg., R.S., Ch. 306 (S.B. </w:t>
      </w:r>
      <w:hyperlink w:docLocation="table" r:id="rId16">
        <w:r>
          <w:rPr>
            <w:rStyle w:val="Hyperlink"/>
          </w:rPr>
          <w:t>687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130.0021.</w:t>
      </w:r>
      <w:r xml:space="preserve">
        <w:t> </w:t>
      </w:r>
      <w:r xml:space="preserve">
        <w:t> </w:t>
      </w:r>
      <w:r>
        <w:t xml:space="preserve">ARCHITECT'S, ENGINEER'S, OR LAND SURVEYOR'S STANDARD OF CARE.  (a)</w:t>
      </w:r>
      <w:r xml:space="preserve">
        <w:t> </w:t>
      </w:r>
      <w:r xml:space="preserve">
        <w:t> </w:t>
      </w:r>
      <w:r>
        <w:t xml:space="preserve">A construction contract for architectural, engineering, or land surveying services or a contract related to the construction or repair of an improvement to real property that contains architectural, engineering, or land surveying services as a component part must require that the architectural, engineering, or land surveying services be performed with the professional skill and care ordinarily provided by competent architects, engineers, or land surveyors practicing under the same or similar circumstances and professional license.</w:t>
      </w:r>
    </w:p>
    <w:p w:rsidR="003F3435" w:rsidRDefault="0032493E">
      <w:pPr>
        <w:spacing w:line="480" w:lineRule="auto"/>
        <w:ind w:firstLine="720"/>
        <w:jc w:val="both"/>
      </w:pPr>
      <w:r>
        <w:t xml:space="preserve">(b)</w:t>
      </w:r>
      <w:r xml:space="preserve">
        <w:t> </w:t>
      </w:r>
      <w:r xml:space="preserve">
        <w:t> </w:t>
      </w:r>
      <w:r>
        <w:t xml:space="preserve">If a contract described by Subsection (a) contains a provision establishing a different standard of care than the standard described by Subsection (a):</w:t>
      </w:r>
    </w:p>
    <w:p w:rsidR="003F3435" w:rsidRDefault="0032493E">
      <w:pPr>
        <w:spacing w:line="480" w:lineRule="auto"/>
        <w:ind w:firstLine="1440"/>
        <w:jc w:val="both"/>
      </w:pPr>
      <w:r>
        <w:t xml:space="preserve">(1)</w:t>
      </w:r>
      <w:r xml:space="preserve">
        <w:t> </w:t>
      </w:r>
      <w:r xml:space="preserve">
        <w:t> </w:t>
      </w:r>
      <w:r>
        <w:t xml:space="preserve">the provision is void and unenforceable; and</w:t>
      </w:r>
    </w:p>
    <w:p w:rsidR="003F3435" w:rsidRDefault="0032493E">
      <w:pPr>
        <w:spacing w:line="480" w:lineRule="auto"/>
        <w:ind w:firstLine="1440"/>
        <w:jc w:val="both"/>
      </w:pPr>
      <w:r>
        <w:t xml:space="preserve">(2)</w:t>
      </w:r>
      <w:r xml:space="preserve">
        <w:t> </w:t>
      </w:r>
      <w:r xml:space="preserve">
        <w:t> </w:t>
      </w:r>
      <w:r>
        <w:t xml:space="preserve">the standard of care described by Subsection (a) applies to the performance of the architectural, engineering, or land surveying services.</w:t>
      </w:r>
    </w:p>
    <w:p w:rsidR="003F3435" w:rsidRDefault="0032493E">
      <w:pPr>
        <w:spacing w:line="480" w:lineRule="auto"/>
        <w:ind w:firstLine="720"/>
        <w:jc w:val="both"/>
      </w:pPr>
      <w:r>
        <w:t xml:space="preserve">(c)</w:t>
      </w:r>
      <w:r xml:space="preserve">
        <w:t> </w:t>
      </w:r>
      <w:r xml:space="preserve">
        <w:t> </w:t>
      </w:r>
      <w:r>
        <w:t xml:space="preserve">Section </w:t>
      </w:r>
      <w:r>
        <w:t xml:space="preserve">130.004</w:t>
      </w:r>
      <w:r>
        <w:t xml:space="preserve"> does not limit the applicability of this section.</w:t>
      </w:r>
    </w:p>
    <w:p w:rsidR="003F3435" w:rsidRDefault="0032493E">
      <w:pPr>
        <w:spacing w:line="480" w:lineRule="auto"/>
        <w:jc w:val="both"/>
      </w:pPr>
      <w:r>
        <w:t xml:space="preserve">Added by Acts 2021, 87th Leg., R.S., Ch. 686 (H.B. </w:t>
      </w:r>
      <w:hyperlink w:docLocation="table" r:id="rId17">
        <w:r>
          <w:rPr>
            <w:rStyle w:val="Hyperlink"/>
          </w:rPr>
          <w:t>2116</w:t>
        </w:r>
      </w:hyperlink>
      <w:r>
        <w:t xml:space="preserve">), Sec. 3, eff. September 1, 2021.</w:t>
      </w:r>
    </w:p>
    <w:p w:rsidR="003F3435" w:rsidRDefault="0032493E">
      <w:pPr>
        <w:spacing w:line="480" w:lineRule="auto"/>
        <w:jc w:val="both"/>
      </w:pPr>
      <w:r>
        <w:t xml:space="preserve">Added by Acts 2021, 87th Leg., R.S., Ch. 838 (S.B. </w:t>
      </w:r>
      <w:hyperlink w:docLocation="table" r:id="rId18">
        <w:r>
          <w:rPr>
            <w:rStyle w:val="Hyperlink"/>
          </w:rPr>
          <w:t>219</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306 (S.B. </w:t>
      </w:r>
      <w:hyperlink w:docLocation="table" r:id="rId19">
        <w:r>
          <w:rPr>
            <w:rStyle w:val="Hyperlink"/>
          </w:rPr>
          <w:t>687</w:t>
        </w:r>
      </w:hyperlink>
      <w:r>
        <w:t xml:space="preserve">), Sec. 3, eff. September 1, 2025.</w:t>
      </w:r>
    </w:p>
    <w:p w:rsidR="003F3435" w:rsidRDefault="0032493E">
      <w:pPr>
        <w:spacing w:line="480" w:lineRule="auto"/>
        <w:ind w:firstLine="720"/>
        <w:jc w:val="both"/>
      </w:pPr>
      <w:r>
        <w:t xml:space="preserve">Acts 2025, 89th Leg., R.S., Ch. 306 (S.B. </w:t>
      </w:r>
      <w:hyperlink w:docLocation="table" r:id="rId20">
        <w:r>
          <w:rPr>
            <w:rStyle w:val="Hyperlink"/>
          </w:rPr>
          <w:t>687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INSURANCE CONTRACT;  WORKERS' COMPENSATION.  This chapter does not apply to:</w:t>
      </w:r>
    </w:p>
    <w:p w:rsidR="003F3435" w:rsidRDefault="0032493E">
      <w:pPr>
        <w:spacing w:line="480" w:lineRule="auto"/>
        <w:ind w:firstLine="1440"/>
        <w:jc w:val="both"/>
      </w:pPr>
      <w:r>
        <w:t xml:space="preserve">(1)</w:t>
      </w:r>
      <w:r xml:space="preserve">
        <w:t> </w:t>
      </w:r>
      <w:r xml:space="preserve">
        <w:t> </w:t>
      </w:r>
      <w:r>
        <w:t xml:space="preserve">an insurance contract;  or</w:t>
      </w:r>
    </w:p>
    <w:p w:rsidR="003F3435" w:rsidRDefault="0032493E">
      <w:pPr>
        <w:spacing w:line="480" w:lineRule="auto"/>
        <w:ind w:firstLine="1440"/>
        <w:jc w:val="both"/>
      </w:pPr>
      <w:r>
        <w:t xml:space="preserve">(2)</w:t>
      </w:r>
      <w:r xml:space="preserve">
        <w:t> </w:t>
      </w:r>
      <w:r xml:space="preserve">
        <w:t> </w:t>
      </w:r>
      <w:r>
        <w:t xml:space="preserve">a workers' compensation agreement.</w:t>
      </w:r>
    </w:p>
    <w:p w:rsidR="003F3435" w:rsidRDefault="0032493E">
      <w:pPr>
        <w:spacing w:line="480" w:lineRule="auto"/>
        <w:jc w:val="both"/>
      </w:pPr>
      <w:r>
        <w:t xml:space="preserve">Added by Acts 1987, 70th Leg., ch. 167, Sec. 3.14(a), eff. Sept. 1, 1987.</w:t>
      </w:r>
    </w:p>
    <w:p w:rsidR="003F3435" w:rsidRDefault="0032493E">
      <w:pPr>
        <w:spacing w:line="480" w:lineRule="auto"/>
        <w:jc w:val="both"/>
      </w:pPr>
    </w:p>
    <w:p w:rsidR="003F3435" w:rsidRDefault="0032493E">
      <w:pPr>
        <w:spacing w:line="480" w:lineRule="auto"/>
        <w:ind w:firstLine="720"/>
        <w:jc w:val="both"/>
      </w:pPr>
      <w:r>
        <w:t xml:space="preserve">Sec. 130.004.</w:t>
      </w:r>
      <w:r xml:space="preserve">
        <w:t> </w:t>
      </w:r>
      <w:r xml:space="preserve">
        <w:t> </w:t>
      </w:r>
      <w:r>
        <w:t xml:space="preserve">OWNER OF INTEREST IN REAL PROPERTY.  (a)</w:t>
      </w:r>
      <w:r xml:space="preserve">
        <w:t> </w:t>
      </w:r>
      <w:r xml:space="preserve">
        <w:t> </w:t>
      </w:r>
      <w:r>
        <w:t xml:space="preserve">Except as provided by Section </w:t>
      </w:r>
      <w:r>
        <w:t xml:space="preserve">130.002</w:t>
      </w:r>
      <w:r>
        <w:t xml:space="preserve">(b) or (c) or Section </w:t>
      </w:r>
      <w:r>
        <w:t xml:space="preserve">130.0021</w:t>
      </w:r>
      <w:r>
        <w:t xml:space="preserve">, this chapter does not apply to an owner of an interest in real property or persons employed solely by that owner.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130.002</w:t>
      </w:r>
      <w:r>
        <w:t xml:space="preserve">(b) or (c) or Section </w:t>
      </w:r>
      <w:r>
        <w:t xml:space="preserve">130.0021</w:t>
      </w:r>
      <w:r>
        <w:t xml:space="preserve">, this chapter does not prohibit or make void or unenforceable a covenant or promise to:</w:t>
      </w:r>
    </w:p>
    <w:p w:rsidR="003F3435" w:rsidRDefault="0032493E">
      <w:pPr>
        <w:spacing w:line="480" w:lineRule="auto"/>
        <w:ind w:firstLine="1440"/>
        <w:jc w:val="both"/>
      </w:pPr>
      <w:r>
        <w:t xml:space="preserve">(1)</w:t>
      </w:r>
      <w:r xml:space="preserve">
        <w:t> </w:t>
      </w:r>
      <w:r xml:space="preserve">
        <w:t> </w:t>
      </w:r>
      <w:r>
        <w:t xml:space="preserve">indemnify or hold harmless an owner of an interest in real property and persons employed solely by that owner; or</w:t>
      </w:r>
    </w:p>
    <w:p w:rsidR="003F3435" w:rsidRDefault="0032493E">
      <w:pPr>
        <w:spacing w:line="480" w:lineRule="auto"/>
        <w:ind w:firstLine="1440"/>
        <w:jc w:val="both"/>
      </w:pPr>
      <w:r>
        <w:t xml:space="preserve">(2)</w:t>
      </w:r>
      <w:r xml:space="preserve">
        <w:t> </w:t>
      </w:r>
      <w:r xml:space="preserve">
        <w:t> </w:t>
      </w:r>
      <w:r>
        <w:t xml:space="preserve">allocate, release, liquidate, limit, or exclude liability in connection with a construction contract between an owner or other person for whom a construction contract is being performed and a registered architect, licensed engineer, or land surveyor.</w:t>
      </w:r>
    </w:p>
    <w:p w:rsidR="003F3435" w:rsidRDefault="0032493E">
      <w:pPr>
        <w:spacing w:line="480" w:lineRule="auto"/>
        <w:jc w:val="both"/>
      </w:pPr>
      <w:r>
        <w:t xml:space="preserve">Added by Acts 1987, 70th Leg., ch. 167, Sec. 3.14(a), eff. Sept. 1, 1987.  Amended by Acts 2001, 77th Leg., ch. 351,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686 (H.B. </w:t>
      </w:r>
      <w:hyperlink w:docLocation="table" r:id="rId21">
        <w:r>
          <w:rPr>
            <w:rStyle w:val="Hyperlink"/>
          </w:rPr>
          <w:t>2116</w:t>
        </w:r>
      </w:hyperlink>
      <w:r>
        <w:t xml:space="preserve">), Sec. 4, eff. September 1, 2021.</w:t>
      </w:r>
    </w:p>
    <w:p w:rsidR="003F3435" w:rsidRDefault="0032493E">
      <w:pPr>
        <w:spacing w:line="480" w:lineRule="auto"/>
        <w:ind w:firstLine="720"/>
        <w:jc w:val="both"/>
      </w:pPr>
      <w:r>
        <w:t xml:space="preserve">Acts 2021, 87th Leg., R.S., Ch. 838 (S.B. </w:t>
      </w:r>
      <w:hyperlink w:docLocation="table" r:id="rId22">
        <w:r>
          <w:rPr>
            <w:rStyle w:val="Hyperlink"/>
          </w:rPr>
          <w:t>219</w:t>
        </w:r>
      </w:hyperlink>
      <w:r>
        <w:t xml:space="preserve">), Sec. 4, eff. September 1, 2021.</w:t>
      </w:r>
    </w:p>
    <w:p w:rsidR="003F3435" w:rsidRDefault="0032493E">
      <w:pPr>
        <w:spacing w:line="480" w:lineRule="auto"/>
        <w:ind w:firstLine="720"/>
        <w:jc w:val="both"/>
      </w:pPr>
      <w:r>
        <w:t xml:space="preserve">Acts 2025, 89th Leg., R.S., Ch. 306 (S.B. </w:t>
      </w:r>
      <w:hyperlink w:docLocation="table" r:id="rId23">
        <w:r>
          <w:rPr>
            <w:rStyle w:val="Hyperlink"/>
          </w:rPr>
          <w:t>687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130.005.</w:t>
      </w:r>
      <w:r xml:space="preserve">
        <w:t> </w:t>
      </w:r>
      <w:r xml:space="preserve">
        <w:t> </w:t>
      </w:r>
      <w:r>
        <w:t xml:space="preserve">APPLICATION OF CHAPTER.</w:t>
      </w:r>
      <w:r xml:space="preserve">
        <w:t> </w:t>
      </w:r>
      <w:r xml:space="preserve">
        <w:t> </w:t>
      </w:r>
      <w:r>
        <w:t xml:space="preserve">This chapter does not apply to a contract or agreement in which an architect, engineer, or land surveyor, or an agent, servant, or employee of an architect, engineer, or land surveyor, is indemnified from liability for:</w:t>
      </w:r>
    </w:p>
    <w:p w:rsidR="003F3435" w:rsidRDefault="0032493E">
      <w:pPr>
        <w:spacing w:line="480" w:lineRule="auto"/>
        <w:ind w:firstLine="1440"/>
        <w:jc w:val="both"/>
      </w:pPr>
      <w:r>
        <w:t xml:space="preserve">(1)</w:t>
      </w:r>
      <w:r xml:space="preserve">
        <w:t> </w:t>
      </w:r>
      <w:r xml:space="preserve">
        <w:t> </w:t>
      </w:r>
      <w:r>
        <w:t xml:space="preserve">negligent acts other than those described by this chapter; or</w:t>
      </w:r>
    </w:p>
    <w:p w:rsidR="003F3435" w:rsidRDefault="0032493E">
      <w:pPr>
        <w:spacing w:line="480" w:lineRule="auto"/>
        <w:ind w:firstLine="1440"/>
        <w:jc w:val="both"/>
      </w:pPr>
      <w:r>
        <w:t xml:space="preserve">(2)</w:t>
      </w:r>
      <w:r xml:space="preserve">
        <w:t> </w:t>
      </w:r>
      <w:r xml:space="preserve">
        <w:t> </w:t>
      </w:r>
      <w:r>
        <w:t xml:space="preserve">negligent acts of the contractor, any subcontractor, any person directly or indirectly employed by the contractor or a subcontractor, or any person for whose acts the contractor or a subcontractor may be liable.</w:t>
      </w:r>
    </w:p>
    <w:p w:rsidR="003F3435" w:rsidRDefault="0032493E">
      <w:pPr>
        <w:spacing w:line="480" w:lineRule="auto"/>
        <w:jc w:val="both"/>
      </w:pPr>
      <w:r>
        <w:t xml:space="preserve">Added by Acts 1987, 70th Leg., ch. 167, Sec. 3.14(a),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306 (S.B. </w:t>
      </w:r>
      <w:hyperlink w:docLocation="table" r:id="rId24">
        <w:r>
          <w:rPr>
            <w:rStyle w:val="Hyperlink"/>
          </w:rPr>
          <w:t>687</w:t>
        </w:r>
      </w:hyperlink>
      <w:r>
        <w:t xml:space="preserve">), Sec. 6,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87F.HTM" TargetMode="External" Id="rId14" /><Relationship Type="http://schemas.openxmlformats.org/officeDocument/2006/relationships/hyperlink" Target="http://capitol.texas.gov/tlodocs/87R/billtext/html/HB02116F.HTM" TargetMode="External" Id="rId15" /><Relationship Type="http://schemas.openxmlformats.org/officeDocument/2006/relationships/hyperlink" Target="http://capitol.texas.gov/tlodocs/89R/billtext/html/SB00687F.HTM" TargetMode="External" Id="rId16" /><Relationship Type="http://schemas.openxmlformats.org/officeDocument/2006/relationships/hyperlink" Target="http://capitol.texas.gov/tlodocs/87R/billtext/html/HB02116F.HTM" TargetMode="External" Id="rId17" /><Relationship Type="http://schemas.openxmlformats.org/officeDocument/2006/relationships/hyperlink" Target="http://capitol.texas.gov/tlodocs/87R/billtext/html/SB00219F.HTM" TargetMode="External" Id="rId18" /><Relationship Type="http://schemas.openxmlformats.org/officeDocument/2006/relationships/hyperlink" Target="http://capitol.texas.gov/tlodocs/89R/billtext/html/SB00687F.HTM" TargetMode="External" Id="rId19" /><Relationship Type="http://schemas.openxmlformats.org/officeDocument/2006/relationships/hyperlink" Target="http://capitol.texas.gov/tlodocs/89R/billtext/html/SB00687F.HTM" TargetMode="External" Id="rId20" /><Relationship Type="http://schemas.openxmlformats.org/officeDocument/2006/relationships/hyperlink" Target="http://capitol.texas.gov/tlodocs/87R/billtext/html/HB02116F.HTM" TargetMode="External" Id="rId21" /><Relationship Type="http://schemas.openxmlformats.org/officeDocument/2006/relationships/hyperlink" Target="http://capitol.texas.gov/tlodocs/87R/billtext/html/SB00219F.HTM" TargetMode="External" Id="rId22" /><Relationship Type="http://schemas.openxmlformats.org/officeDocument/2006/relationships/hyperlink" Target="http://capitol.texas.gov/tlodocs/89R/billtext/html/SB00687F.HTM" TargetMode="External" Id="rId23" /><Relationship Type="http://schemas.openxmlformats.org/officeDocument/2006/relationships/hyperlink" Target="http://capitol.texas.gov/tlodocs/89R/billtext/html/SB0068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