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2. CHILD IN RELATION TO THE FAMILY</w:t>
      </w:r>
    </w:p>
    <w:p w:rsidR="003F3435" w:rsidRDefault="0032493E">
      <w:pPr>
        <w:spacing w:line="480" w:lineRule="auto"/>
        <w:jc w:val="center"/>
      </w:pPr>
      <w:r>
        <w:t xml:space="preserve">SUBTITLE B. PARENTAL LIABILITY</w:t>
      </w:r>
    </w:p>
    <w:p w:rsidR="003F3435" w:rsidRDefault="0032493E">
      <w:pPr>
        <w:spacing w:line="480" w:lineRule="auto"/>
        <w:jc w:val="center"/>
      </w:pPr>
      <w:r>
        <w:t xml:space="preserve">CHAPTER 42. CIVIL LIABILITY FOR INTERFERENCE WITH POSSESSORY INTEREST IN CHILD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"Order" means a temporary or final order of a court of this state or another state or nation.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"Possessory right" means a court-ordered right of possession of or access to a child, including conservatorship, custody, and visitation.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42.002.</w:t>
      </w:r>
      <w:r xml:space="preserve">
        <w:t> </w:t>
      </w:r>
      <w:r xml:space="preserve">
        <w:t> </w:t>
      </w:r>
      <w:r>
        <w:t xml:space="preserve">LIABILITY FOR INTERFERENCE WITH POSSESSORY RIGHT.  (a)  A person who takes or retains possession of a child or who conceals the whereabouts of a child in violation of a possessory right of another person may be liable for damages to that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possessory right is violated by the taking, retention, or concealment of a child at a time when another person is entitled to possession of or access to the child.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42.003.</w:t>
      </w:r>
      <w:r xml:space="preserve">
        <w:t> </w:t>
      </w:r>
      <w:r xml:space="preserve">
        <w:t> </w:t>
      </w:r>
      <w:r>
        <w:t xml:space="preserve">AIDING OR ASSISTING INTERFERENCE WITH POSSESSORY RIGHT.  (a)  A person who aids or assists in conduct for which a cause of action is authorized by this chapter is jointly and severally liable for damages.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was not a party to the suit in which an order was rendered providing for a possessory right is not liable unless the person at the time of the violation: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had actual notice of the existence and contents of the order;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had reasonable cause to believe that the child was the subject of an order and that the person's actions were likely to violate the order.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42.005.</w:t>
      </w:r>
      <w:r xml:space="preserve">
        <w:t> </w:t>
      </w:r>
      <w:r xml:space="preserve">
        <w:t> </w:t>
      </w:r>
      <w:r>
        <w:t xml:space="preserve">VENUE.  A suit may be filed in a county in which: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plaintiff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defendant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suit affecting the parent-child relationship as provided by Chapter </w:t>
      </w:r>
      <w:r>
        <w:t xml:space="preserve">102</w:t>
      </w:r>
      <w:r>
        <w:t xml:space="preserve"> may be brought, concerning the child who is the subject of the court order;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court has continuing, exclusive jurisdiction as provided by Chapter </w:t>
      </w:r>
      <w:r>
        <w:t xml:space="preserve">155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42.006.</w:t>
      </w:r>
      <w:r xml:space="preserve">
        <w:t> </w:t>
      </w:r>
      <w:r xml:space="preserve">
        <w:t> </w:t>
      </w:r>
      <w:r>
        <w:t xml:space="preserve">DAMAGES.  (a)  Damages may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actual costs and expenses incurred, including attorney's fees,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locating a child who is the subject of the order;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recovering possession of the child if the petitioner is entitled to possession;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enforcing the order and prosecuting the suit;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mental suffering and anguish incurred by the plaintiff because of a violation of the order.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liable for damages who acted with malice or with an intent to cause harm to the plaintiff may be liable for exemplary damages.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1995, 74th Leg., ch. 751, Sec. 7,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42.007.</w:t>
      </w:r>
      <w:r xml:space="preserve">
        <w:t> </w:t>
      </w:r>
      <w:r xml:space="preserve">
        <w:t> </w:t>
      </w:r>
      <w:r>
        <w:t xml:space="preserve">AFFIRMATIVE DEFENSE.  The defendant may plead as an affirmative defense that the defendant acted in violation of the order with the express consent of the plaintiff.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1999, 76th Leg., ch. 437,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42.008.</w:t>
      </w:r>
      <w:r xml:space="preserve">
        <w:t> </w:t>
      </w:r>
      <w:r xml:space="preserve">
        <w:t> </w:t>
      </w:r>
      <w:r>
        <w:t xml:space="preserve">REMEDIES NOT AFFECTED.  This chapter does not affect any other civil or criminal remedy available to any person, including the child, for interference with a possessory right, nor does it affect the power of a parent to represent the interest of a child in a suit filed on behalf of the child.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42.009.</w:t>
      </w:r>
      <w:r xml:space="preserve">
        <w:t> </w:t>
      </w:r>
      <w:r xml:space="preserve">
        <w:t> </w:t>
      </w:r>
      <w:r>
        <w:t xml:space="preserve">FRIVOLOUS SUIT.  A person sued for damages as provided by this chapter is entitled to recover attorney's fees and court costs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claim for damages is dismissed or judgment is awarded to the defendant;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court or jury finds that the claim for damages is frivolous, unreasonable, or without foundation.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