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91. REPORTING FAMILY VIOLENCE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91.001.</w:t>
      </w:r>
      <w:r xml:space="preserve">
        <w:t> </w:t>
      </w:r>
      <w:r xml:space="preserve">
        <w:t> </w:t>
      </w:r>
      <w:r>
        <w:t xml:space="preserve">DEFINITIONS.  In this subtitle: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"Family violence" has the meaning assigned by Section </w:t>
      </w:r>
      <w:r>
        <w:t xml:space="preserve">71.004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"Medical professional" means a licensed doctor, nurse, physician assistant, or emergency medical technician.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91.002.</w:t>
      </w:r>
      <w:r xml:space="preserve">
        <w:t> </w:t>
      </w:r>
      <w:r xml:space="preserve">
        <w:t> </w:t>
      </w:r>
      <w:r>
        <w:t xml:space="preserve">REPORTING BY WITNESSES ENCOURAGED.  A person who witnesses family violence is encouraged to report the family violence to a local law enforcement agency.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91.003.</w:t>
      </w:r>
      <w:r xml:space="preserve">
        <w:t> </w:t>
      </w:r>
      <w:r xml:space="preserve">
        <w:t> </w:t>
      </w:r>
      <w:r>
        <w:t xml:space="preserve">INFORMATION PROVIDED BY MEDICAL PROFESSIONALS.</w:t>
      </w:r>
      <w:r xml:space="preserve">
        <w:t> </w:t>
      </w:r>
      <w:r xml:space="preserve">
        <w:t> </w:t>
      </w:r>
      <w:r>
        <w:t xml:space="preserve">A medical professional who treats a person for injuries that the medical professional has reason to believe were caused by family violence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immediately provide the person with information regarding the nearest family violence shelter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document in the person's medical file: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fact that the person has received the information provided under Subdivision (1);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reasons for the medical professional's belief that the person's injuries were caused by family violence;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give the person the written notice adopted by the Health and Human Services Commission under Section </w:t>
      </w:r>
      <w:r>
        <w:t xml:space="preserve">51A.003</w:t>
      </w:r>
      <w:r>
        <w:t xml:space="preserve">, Human Resources Code.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24 (S.B. </w:t>
      </w:r>
      <w:hyperlink w:docLocation="table" r:id="rId14">
        <w:r>
          <w:rPr>
            <w:rStyle w:val="Hyperlink"/>
          </w:rPr>
          <w:t>1325</w:t>
        </w:r>
      </w:hyperlink>
      <w:r>
        <w:t xml:space="preserve">), Sec. 6, eff. May 13,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91.004.</w:t>
      </w:r>
      <w:r xml:space="preserve">
        <w:t> </w:t>
      </w:r>
      <w:r xml:space="preserve">
        <w:t> </w:t>
      </w:r>
      <w:r>
        <w:t xml:space="preserve">APPLICATION OF SUBTITLE.  This subtitle does not affect a duty to report child abuse under Chapter </w:t>
      </w:r>
      <w:r>
        <w:t xml:space="preserve">261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1325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