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AGRICULTURE CODE</w:t>
      </w:r>
    </w:p>
    <w:p w:rsidR="003F3435" w:rsidRDefault="0032493E">
      <w:pPr>
        <w:spacing w:line="480" w:lineRule="auto"/>
        <w:jc w:val="center"/>
      </w:pPr>
      <w:r>
        <w:t xml:space="preserve">TITLE 5. PRODUCTION, PROCESSING, AND SALE OF HORTICULTURAL PRODUCTS</w:t>
      </w:r>
    </w:p>
    <w:p w:rsidR="003F3435" w:rsidRDefault="0032493E">
      <w:pPr>
        <w:spacing w:line="480" w:lineRule="auto"/>
        <w:jc w:val="center"/>
      </w:pPr>
      <w:r>
        <w:t xml:space="preserve">SUBTITLE D. HANDLING AND MARKETING OF HORTICULTURAL PRODUCTS</w:t>
      </w:r>
    </w:p>
    <w:p w:rsidR="003F3435" w:rsidRDefault="0032493E">
      <w:pPr>
        <w:spacing w:line="480" w:lineRule="auto"/>
        <w:jc w:val="center"/>
      </w:pPr>
      <w:r>
        <w:t xml:space="preserve">CHAPTER 104.  ACREAGE CONTRACTS AND QUANTITY CONTRACTS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"Acreage contract" means a contract that requires a producer to deliver to a purchaser all of the production of a specified agricultural product grown on land described in the contract, unless clearly and conspicuously stated otherwise in the contract's language.</w:t>
      </w:r>
      <w:r xml:space="preserve">
        <w:t> </w:t>
      </w:r>
      <w:r xml:space="preserve">
        <w:t> </w:t>
      </w:r>
      <w:r>
        <w:t xml:space="preserve">The term does not include a contract that requires a producer to deliver a specified quantity of an agricultural product.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"Producer" means a person who produces an agricultural product and sells the product under an acreage contract or a quantity contract.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"Purchaser" means a person who purchases an agricultural product under an acreage contract or a quantity contract.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"Quantity contract" means a contract that requires a producer to deliver to a purchaser a specified quantity of an agricultural product, regardless of the amount of the product grown by the producer.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1140 (H.B. </w:t>
      </w:r>
      <w:hyperlink w:docLocation="table" r:id="rId14">
        <w:r>
          <w:rPr>
            <w:rStyle w:val="Hyperlink"/>
          </w:rPr>
          <w:t>338</w:t>
        </w:r>
      </w:hyperlink>
      <w:r>
        <w:t xml:space="preserve">), Sec. 2,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104.002.</w:t>
      </w:r>
      <w:r xml:space="preserve">
        <w:t> </w:t>
      </w:r>
      <w:r xml:space="preserve">
        <w:t> </w:t>
      </w:r>
      <w:r>
        <w:t xml:space="preserve">CONTRACT TYPE DISCLOSURE.</w:t>
      </w:r>
      <w:r xml:space="preserve">
        <w:t> </w:t>
      </w:r>
      <w:r xml:space="preserve">
        <w:t> </w:t>
      </w:r>
      <w:r>
        <w:t xml:space="preserve">A contract between a producer and a purchaser regarding an agricultural product must clearly and conspicuously state on its face that it is an acreage contract or a quantity contract, as applicable.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1140 (H.B. </w:t>
      </w:r>
      <w:hyperlink w:docLocation="table" r:id="rId15">
        <w:r>
          <w:rPr>
            <w:rStyle w:val="Hyperlink"/>
          </w:rPr>
          <w:t>338</w:t>
        </w:r>
      </w:hyperlink>
      <w:r>
        <w:t xml:space="preserve">), Sec. 2,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104.003.</w:t>
      </w:r>
      <w:r xml:space="preserve">
        <w:t> </w:t>
      </w:r>
      <w:r xml:space="preserve">
        <w:t> </w:t>
      </w:r>
      <w:r>
        <w:t xml:space="preserve">SUIT BY PURCHASER UNDER ACREAGE CONTRACT.</w:t>
      </w:r>
      <w:r xml:space="preserve">
        <w:t> </w:t>
      </w:r>
      <w:r xml:space="preserve">
        <w:t> </w:t>
      </w:r>
      <w:r>
        <w:t xml:space="preserve">A purchaser may not file suit against a producer under an acreage contract unless the producer knowingly fails to deliver to the purchaser all of an agricultural product grown on specified land as provided by the acreage contract.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1140 (H.B. </w:t>
      </w:r>
      <w:hyperlink w:docLocation="table" r:id="rId16">
        <w:r>
          <w:rPr>
            <w:rStyle w:val="Hyperlink"/>
          </w:rPr>
          <w:t>338</w:t>
        </w:r>
      </w:hyperlink>
      <w:r>
        <w:t xml:space="preserve">), Sec. 2,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0338F.HTM" TargetMode="External" Id="rId14" /><Relationship Type="http://schemas.openxmlformats.org/officeDocument/2006/relationships/hyperlink" Target="http://capitol.texas.gov/tlodocs/85R/billtext/html/HB00338F.HTM" TargetMode="External" Id="rId15" /><Relationship Type="http://schemas.openxmlformats.org/officeDocument/2006/relationships/hyperlink" Target="http://capitol.texas.gov/tlodocs/85R/billtext/html/HB0033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