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ALCOHOLIC BEVERAGE CODE</w:t>
      </w:r>
    </w:p>
    <w:p w:rsidR="003F3435" w:rsidRDefault="0032493E">
      <w:pPr>
        <w:spacing w:line="480" w:lineRule="auto"/>
        <w:jc w:val="center"/>
      </w:pPr>
      <w:r>
        <w:t xml:space="preserve">TITLE 4. REGULATORY AND PENAL PROVISIONS</w:t>
      </w:r>
    </w:p>
    <w:p w:rsidR="003F3435" w:rsidRDefault="0032493E">
      <w:pPr>
        <w:spacing w:line="480" w:lineRule="auto"/>
        <w:jc w:val="center"/>
      </w:pPr>
      <w:r>
        <w:t xml:space="preserve">CHAPTER 111.  SECONDARY WINE SALES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"Permitted restaurant" means a restaurant that holds: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mixed beverage permit, a wine and malt beverage retailer's permit, or a private club registration permit;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food and beverage certificate.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"Wine collection seller" means a person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at least 21 years of age;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does not hold a license or permit under this code;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is: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an administrator, executor, receiver, or other fiduciary who receives and sells wine in execution of the person's fiduciary capacity;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creditor who receives or takes possession of wine as security for, or in payment of, debt, in whole or in part;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 public officer or court official who levies on wine under order or process of any court or magistrate to sell the wine in satisfaction of the order or process;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any other person who does not hold or have an interest in a permit or a license or in the business of a permit or license holder under this code and is not engaged in the business of selling alcoholic beverages.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361 (S.B. </w:t>
      </w:r>
      <w:hyperlink w:docLocation="table" r:id="rId14">
        <w:r>
          <w:rPr>
            <w:rStyle w:val="Hyperlink"/>
          </w:rPr>
          <w:t>1932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111.002.</w:t>
      </w:r>
      <w:r xml:space="preserve">
        <w:t> </w:t>
      </w:r>
      <w:r xml:space="preserve">
        <w:t> </w:t>
      </w:r>
      <w:r>
        <w:t xml:space="preserve">AUTHORIZED ACTIVITIES.</w:t>
      </w:r>
      <w:r xml:space="preserve">
        <w:t> </w:t>
      </w:r>
      <w:r xml:space="preserve">
        <w:t> </w:t>
      </w:r>
      <w:r>
        <w:t xml:space="preserve">A wine collection seller may sell to a permitted restaurant wine that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lawfully owned or possessed by the wine collection seller;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an original container sealed by the manufacturer;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manufactured not less than 10 years before the date the wine collection seller sells the wine to a permitted restaurant.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361 (S.B. </w:t>
      </w:r>
      <w:hyperlink w:docLocation="table" r:id="rId15">
        <w:r>
          <w:rPr>
            <w:rStyle w:val="Hyperlink"/>
          </w:rPr>
          <w:t>1932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490 (S.B. </w:t>
      </w:r>
      <w:hyperlink w:docLocation="table" r:id="rId16">
        <w:r>
          <w:rPr>
            <w:rStyle w:val="Hyperlink"/>
          </w:rPr>
          <w:t>1184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111.003.</w:t>
      </w:r>
      <w:r xml:space="preserve">
        <w:t> </w:t>
      </w:r>
      <w:r xml:space="preserve">
        <w:t> </w:t>
      </w:r>
      <w:r>
        <w:t xml:space="preserve">PURCHASE BY RESTAURANT; SALE TO CONSUMER.</w:t>
      </w:r>
      <w:r xml:space="preserve">
        <w:t> </w:t>
      </w:r>
      <w:r xml:space="preserve">
        <w:t> </w:t>
      </w:r>
      <w:r>
        <w:t xml:space="preserve">A permitted restaurant may purchase wine from a wine collection seller and sell that wine to an ultimate consumer for on-premises consumption in accordance with the permit held by the permitted restaurant.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361 (S.B. </w:t>
      </w:r>
      <w:hyperlink w:docLocation="table" r:id="rId17">
        <w:r>
          <w:rPr>
            <w:rStyle w:val="Hyperlink"/>
          </w:rPr>
          <w:t>1932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111.004.</w:t>
      </w:r>
      <w:r xml:space="preserve">
        <w:t> </w:t>
      </w:r>
      <w:r xml:space="preserve">
        <w:t> </w:t>
      </w:r>
      <w:r>
        <w:t xml:space="preserve">RECORDS.  (a)</w:t>
      </w:r>
      <w:r xml:space="preserve">
        <w:t> </w:t>
      </w:r>
      <w:r xml:space="preserve">
        <w:t> </w:t>
      </w:r>
      <w:r>
        <w:t xml:space="preserve">A permitted restaurant that purchases wine under this chapter shall maintain a record of each purchase.</w:t>
      </w:r>
      <w:r xml:space="preserve">
        <w:t> </w:t>
      </w:r>
      <w:r xml:space="preserve">
        <w:t> </w:t>
      </w:r>
      <w:r>
        <w:t xml:space="preserve">A permitted restaurant shall maintain the record until the second anniversary of the date the restaurant sells the wine to an ultimate consumer.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record, at a minimum,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name, address, and phone number of the wine collection seller who sold the wine to the permitted restaurant;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description of the wine;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details of the transaction between the wine collection seller and the permitted restaurant, including the brand name and quantity of containers purchased by the permitted restaurant;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date of the purchase;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any documents that support the provenance of the wine.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permitted restaurant shall make a record of a wine purchase made under this chapter available upon request to the ultimate consumer who purchases the wine.</w:t>
      </w:r>
      <w:r xml:space="preserve">
        <w:t> </w:t>
      </w:r>
      <w:r xml:space="preserve">
        <w:t> </w:t>
      </w:r>
      <w:r>
        <w:t xml:space="preserve">The ultimate consumer may request the records either before or after the sale to the consumer.</w:t>
      </w:r>
      <w:r xml:space="preserve">
        <w:t> </w:t>
      </w:r>
      <w:r xml:space="preserve">
        <w:t> </w:t>
      </w:r>
      <w:r>
        <w:t xml:space="preserve">The permitted restaurant may redact from the record the price the restaurant paid for the wine.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commission shall assess an administrative penalty in the amount of $500 against a permitted restaurant for each violation of this section.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361 (S.B. </w:t>
      </w:r>
      <w:hyperlink w:docLocation="table" r:id="rId18">
        <w:r>
          <w:rPr>
            <w:rStyle w:val="Hyperlink"/>
          </w:rPr>
          <w:t>1932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111.005.</w:t>
      </w:r>
      <w:r xml:space="preserve">
        <w:t> </w:t>
      </w:r>
      <w:r xml:space="preserve">
        <w:t> </w:t>
      </w:r>
      <w:r>
        <w:t xml:space="preserve">TAX.</w:t>
      </w:r>
      <w:r xml:space="preserve">
        <w:t> </w:t>
      </w:r>
      <w:r xml:space="preserve">
        <w:t> </w:t>
      </w:r>
      <w:r>
        <w:t xml:space="preserve">Sales of wine by a wine collection seller to a permitted restaurant under this chapter are exempt from the taxes imposed under Subchapter </w:t>
      </w:r>
      <w:r>
        <w:t xml:space="preserve">A</w:t>
      </w:r>
      <w:r>
        <w:t xml:space="preserve">, Chapter </w:t>
      </w:r>
      <w:r>
        <w:t xml:space="preserve">201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361 (S.B. </w:t>
      </w:r>
      <w:hyperlink w:docLocation="table" r:id="rId19">
        <w:r>
          <w:rPr>
            <w:rStyle w:val="Hyperlink"/>
          </w:rPr>
          <w:t>1932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932F.HTM" TargetMode="External" Id="rId14" /><Relationship Type="http://schemas.openxmlformats.org/officeDocument/2006/relationships/hyperlink" Target="http://capitol.texas.gov/tlodocs/88R/billtext/html/SB01932F.HTM" TargetMode="External" Id="rId15" /><Relationship Type="http://schemas.openxmlformats.org/officeDocument/2006/relationships/hyperlink" Target="http://capitol.texas.gov/tlodocs/89R/billtext/html/SB01184F.HTM" TargetMode="External" Id="rId16" /><Relationship Type="http://schemas.openxmlformats.org/officeDocument/2006/relationships/hyperlink" Target="http://capitol.texas.gov/tlodocs/88R/billtext/html/SB01932F.HTM" TargetMode="External" Id="rId17" /><Relationship Type="http://schemas.openxmlformats.org/officeDocument/2006/relationships/hyperlink" Target="http://capitol.texas.gov/tlodocs/88R/billtext/html/SB01932F.HTM" TargetMode="External" Id="rId18" /><Relationship Type="http://schemas.openxmlformats.org/officeDocument/2006/relationships/hyperlink" Target="http://capitol.texas.gov/tlodocs/88R/billtext/html/SB01932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