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ORGANIZATIONS CODE</w:t>
      </w:r>
    </w:p>
    <w:p w:rsidR="003F3435" w:rsidRDefault="0032493E">
      <w:pPr>
        <w:spacing w:line="480" w:lineRule="auto"/>
        <w:jc w:val="center"/>
      </w:pPr>
      <w:r>
        <w:t xml:space="preserve">TITLE 8. MISCELLANEOUS AND TRANSITION PROVISIONS</w:t>
      </w:r>
    </w:p>
    <w:p w:rsidR="003F3435" w:rsidRDefault="0032493E">
      <w:pPr>
        <w:spacing w:line="480" w:lineRule="auto"/>
        <w:jc w:val="center"/>
      </w:pPr>
      <w:r>
        <w:t xml:space="preserve">CHAPTER 401.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401.001.</w:t>
      </w:r>
      <w:r xml:space="preserve">
        <w:t> </w:t>
      </w:r>
      <w:r xml:space="preserve">
        <w:t> </w:t>
      </w:r>
      <w:r>
        <w:t xml:space="preserve">DEFINITIONS.  In this title: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"Mandatory application date" means: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for an entity subject to this code under Section </w:t>
      </w:r>
      <w:r>
        <w:t xml:space="preserve">402.001</w:t>
      </w:r>
      <w:r>
        <w:t xml:space="preserve">, January 1, 2006;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for an entity subject to this code under Section </w:t>
      </w:r>
      <w:r>
        <w:t xml:space="preserve">402.003</w:t>
      </w:r>
      <w:r>
        <w:t xml:space="preserve"> or </w:t>
      </w:r>
      <w:r>
        <w:t xml:space="preserve">402.004</w:t>
      </w:r>
      <w:r>
        <w:t xml:space="preserve">, the date of completion of the action required by that section but no earlier than January 1, 2006; 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for any other entity, January 1, 2010.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"Prior law" means the applicable law in effect before January 1, 2006.</w:t>
      </w:r>
    </w:p>
    <w:p w:rsidR="003F3435" w:rsidRDefault="0032493E">
      <w:pPr>
        <w:spacing w:line="480" w:lineRule="auto"/>
        <w:jc w:val="both"/>
      </w:pPr>
      <w:r>
        <w:t xml:space="preserve">Acts 2003, 78th Leg., ch. 182, Sec. 1, eff. Jan. 1, 2006.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