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100B, consisting of Secs. 100B.001 to 100B.004, was added by Acts 2025, 89th Leg., R.S., Ch. 1154 (S.B. </w:t>
      </w:r>
      <w:hyperlink w:docLocation="table" r:id="rId14">
        <w:r>
          <w:rPr>
            <w:rStyle w:val="Hyperlink"/>
          </w:rPr>
          <w:t>2373</w:t>
        </w:r>
      </w:hyperlink>
      <w:r>
        <w:t xml:space="preserve">), Sec. 1.</w:t>
      </w:r>
    </w:p>
    <w:p w:rsidR="003F3435" w:rsidRDefault="0032493E">
      <w:pPr>
        <w:spacing w:line="480" w:lineRule="auto"/>
        <w:jc w:val="center"/>
      </w:pPr>
      <w:r>
        <w:t xml:space="preserve">For another Chapter 100B, consisting of Secs. 100B.001 to 100B.003, added by Acts 2025, 89th Leg., R.S., Ch. 654 (H.B. </w:t>
      </w:r>
      <w:hyperlink w:docLocation="table" r:id="rId15">
        <w:r>
          <w:rPr>
            <w:rStyle w:val="Hyperlink"/>
          </w:rPr>
          <w:t>4281</w:t>
        </w:r>
      </w:hyperlink>
      <w:r>
        <w:t xml:space="preserve">), Sec. 1, see Sec. 100B.001 et seq., post.</w:t>
      </w:r>
    </w:p>
    <w:p w:rsidR="003F3435" w:rsidRDefault="0032493E">
      <w:pPr>
        <w:spacing w:line="480" w:lineRule="auto"/>
        <w:jc w:val="center"/>
      </w:pPr>
      <w:r>
        <w:t xml:space="preserve">CHAPTER 100B.  LIABILITY FOR FINANCIAL EXPLOITATION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"Artificial intelligence" means a machine-based system that can, for a given set of explicit or implicit objectives, make predictions, recommendations, or decisions that influence real or virtual environments.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"Artificially generated media" means an image, an audio file, a video file, a radio broadcast, written text, or other media created or modified using artificial intelligence or other computer software with the intent to deceive.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"Financial exploitation" has the meaning assigned by Section </w:t>
      </w:r>
      <w:r>
        <w:t xml:space="preserve">281.001</w:t>
      </w:r>
      <w:r>
        <w:t xml:space="preserve">, Finance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"Phishing communication" means an attempt to deceive or manipulate a person into providing personal, financial, or identifying information through e-mail, electronic communication, or other digital means.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1154 (S.B. </w:t>
      </w:r>
      <w:hyperlink w:docLocation="table" r:id="rId16">
        <w:r>
          <w:rPr>
            <w:rStyle w:val="Hyperlink"/>
          </w:rPr>
          <w:t>2373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100B.002.</w:t>
      </w:r>
      <w:r xml:space="preserve">
        <w:t> </w:t>
      </w:r>
      <w:r xml:space="preserve">
        <w:t> </w:t>
      </w:r>
      <w:r>
        <w:t xml:space="preserve">CAUSE OF ACTION FOR DISSEMINATION OF CERTAIN COMMUNICATIONS FOR FINANCIAL EXPLOITATION.  (a)</w:t>
      </w:r>
      <w:r xml:space="preserve">
        <w:t> </w:t>
      </w:r>
      <w:r xml:space="preserve">
        <w:t> </w:t>
      </w:r>
      <w:r>
        <w:t xml:space="preserve">A person is liable for damages resulting from a knowing or intentional dissemination of artificially generated media or a phishing communication for the purpose of financial exploitation.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 shall award a claimant who prevails in an action brought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actual damages, including damages for mental anguish and the defendant's profits attributable to the dissemination of the artificially generated media or phishing communication;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court costs and reasonable attorney's fees incurred in bringing the action.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court in which an action is brought under this section, on a motion of a claimant, may issue a temporary restraining order or a temporary or permanent injunction to restrain and prevent the further dissemination of artificially generated media or a phishing communication to the claimant.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1154 (S.B. </w:t>
      </w:r>
      <w:hyperlink w:docLocation="table" r:id="rId17">
        <w:r>
          <w:rPr>
            <w:rStyle w:val="Hyperlink"/>
          </w:rPr>
          <w:t>2373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100B.003.</w:t>
      </w:r>
      <w:r xml:space="preserve">
        <w:t> </w:t>
      </w:r>
      <w:r xml:space="preserve">
        <w:t> </w:t>
      </w:r>
      <w:r>
        <w:t xml:space="preserve">CIVIL PENALTY FOR DISSEMINATION OF CERTAIN COMMUNICATIONS FOR FINANCIAL EXPLOITATION.  (a)</w:t>
      </w:r>
      <w:r xml:space="preserve">
        <w:t> </w:t>
      </w:r>
      <w:r xml:space="preserve">
        <w:t> </w:t>
      </w:r>
      <w:r>
        <w:t xml:space="preserve">A person who knowingly or intentionally disseminates artificially generated media or a phishing communication for purposes of financial exploitation is subject to a civil penalty not to exceed $1,000 per day the media or communication is disseminated.</w:t>
      </w:r>
      <w:r xml:space="preserve">
        <w:t> </w:t>
      </w:r>
      <w:r xml:space="preserve">
        <w:t> </w:t>
      </w:r>
      <w:r>
        <w:t xml:space="preserve">The attorney general may bring an action to collect the civil penalty.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action brought by the attorney general under this section shall be filed in a district court: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 Travis County;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any county in which all or part of the events or omissions giving rise to the action occurred.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section may not be construed to impose liability, for content provided by another person,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provider of an interactive computer service, as defined by 47 U.S.C. Section 230(f);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telecommunications service, as defined by 47 U.S.C. Section 153;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radio or television station licensed by the Federal Communications Commission.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1154 (S.B. </w:t>
      </w:r>
      <w:hyperlink w:docLocation="table" r:id="rId18">
        <w:r>
          <w:rPr>
            <w:rStyle w:val="Hyperlink"/>
          </w:rPr>
          <w:t>2373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100B.004.</w:t>
      </w:r>
      <w:r xml:space="preserve">
        <w:t> </w:t>
      </w:r>
      <w:r xml:space="preserve">
        <w:t> </w:t>
      </w:r>
      <w:r>
        <w:t xml:space="preserve">CONFIDENTIAL IDENTITY IN ACTION FOR DISSEMINATION OF CERTAIN COMMUNICATIONS.  (a)</w:t>
      </w:r>
      <w:r xml:space="preserve">
        <w:t> </w:t>
      </w:r>
      <w:r xml:space="preserve">
        <w:t> </w:t>
      </w:r>
      <w:r>
        <w:t xml:space="preserve">In this section, "confidential identity" means: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use of a pseudonym;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absence of any other identifying information, including address, telephone number, and social security number.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an action brought under Section </w:t>
      </w:r>
      <w:r>
        <w:t xml:space="preserve">100B.002</w:t>
      </w:r>
      <w:r>
        <w:t xml:space="preserve"> or </w:t>
      </w:r>
      <w:r>
        <w:t xml:space="preserve">100B.003</w:t>
      </w:r>
      <w:r>
        <w:t xml:space="preserve">, the court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notify the person who is the subject of the action as early as possible in the action that the person may use a confidential identity in relation to the action;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allow a person who is the subject of the action to use a confidential identity in all petitions, filings, and other documents presented to the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use the person's confidential identity in all of the court's proceedings and records relating to the action, including any appellate proceedings;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maintain the records relating to the action in a manner that protects the person's confidentiality.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an action brought under Section </w:t>
      </w:r>
      <w:r>
        <w:t xml:space="preserve">100B.002</w:t>
      </w:r>
      <w:r>
        <w:t xml:space="preserve"> or </w:t>
      </w:r>
      <w:r>
        <w:t xml:space="preserve">100B.003</w:t>
      </w:r>
      <w:r>
        <w:t xml:space="preserve">, only the following persons are entitled to know the true identifying information about the person who is the subject of the action: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court;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party to the action;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 attorney representing a party to the action;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person authorized by a written order of the court specific to that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court shall order that a person entitled to know the true identifying information under Subsection (c) may not divulge that information to anyone without a written order of the court.</w:t>
      </w:r>
      <w:r xml:space="preserve">
        <w:t> </w:t>
      </w:r>
      <w:r xml:space="preserve">
        <w:t> </w:t>
      </w:r>
      <w:r>
        <w:t xml:space="preserve">The court shall hold a person who violates the order in contempt.</w:t>
      </w:r>
    </w:p>
    <w:p w:rsidR="003F3435" w:rsidRDefault="0032493E">
      <w:pPr>
        <w:spacing w:line="480" w:lineRule="auto"/>
        <w:jc w:val="center"/>
      </w:pPr>
      <w:r>
        <w:t xml:space="preserve">Text of subsection effective until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22.004</w:t>
      </w:r>
      <w:r>
        <w:t xml:space="preserve">, Government Code, the supreme court may not amend or adopt rules in conflict with this section.</w:t>
      </w:r>
    </w:p>
    <w:p w:rsidR="003F3435" w:rsidRDefault="0032493E">
      <w:pPr>
        <w:spacing w:line="480" w:lineRule="auto"/>
        <w:jc w:val="center"/>
      </w:pPr>
      <w:r>
        <w:t xml:space="preserve">Text of subsection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Repealed by Acts 2025, 89th Leg., 2nd C.S., Ch. 7 (H.B. </w:t>
      </w:r>
      <w:hyperlink w:docLocation="table" r:id="rId19">
        <w:r>
          <w:rPr>
            <w:rStyle w:val="Hyperlink"/>
          </w:rPr>
          <w:t>16</w:t>
        </w:r>
      </w:hyperlink>
      <w:r>
        <w:t xml:space="preserve">), Sec. 12.10(17), eff. December 4, 2025.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 person is not required to use a confidential identity as provided by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1154 (S.B. </w:t>
      </w:r>
      <w:hyperlink w:docLocation="table" r:id="rId20">
        <w:r>
          <w:rPr>
            <w:rStyle w:val="Hyperlink"/>
          </w:rPr>
          <w:t>2373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2nd C.S., Ch. 7 (H.B. </w:t>
      </w:r>
      <w:hyperlink w:docLocation="table" r:id="rId21">
        <w:r>
          <w:rPr>
            <w:rStyle w:val="Hyperlink"/>
          </w:rPr>
          <w:t>16</w:t>
        </w:r>
      </w:hyperlink>
      <w:r>
        <w:t xml:space="preserve">), Sec. 12.10(17), eff. December 4,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2373F.HTM" TargetMode="External" Id="rId14" /><Relationship Type="http://schemas.openxmlformats.org/officeDocument/2006/relationships/hyperlink" Target="http://capitol.texas.gov/tlodocs/89R/billtext/html/HB04281F.HTM" TargetMode="External" Id="rId15" /><Relationship Type="http://schemas.openxmlformats.org/officeDocument/2006/relationships/hyperlink" Target="http://capitol.texas.gov/tlodocs/89R/billtext/html/SB02373F.HTM" TargetMode="External" Id="rId16" /><Relationship Type="http://schemas.openxmlformats.org/officeDocument/2006/relationships/hyperlink" Target="http://capitol.texas.gov/tlodocs/89R/billtext/html/SB02373F.HTM" TargetMode="External" Id="rId17" /><Relationship Type="http://schemas.openxmlformats.org/officeDocument/2006/relationships/hyperlink" Target="http://capitol.texas.gov/tlodocs/89R/billtext/html/SB02373F.HTM" TargetMode="External" Id="rId18" /><Relationship Type="http://schemas.openxmlformats.org/officeDocument/2006/relationships/hyperlink" Target="http://capitol.texas.gov/tlodocs/892/billtext/html/HB00016F.HTM" TargetMode="External" Id="rId19" /><Relationship Type="http://schemas.openxmlformats.org/officeDocument/2006/relationships/hyperlink" Target="http://capitol.texas.gov/tlodocs/89R/billtext/html/SB02373F.HTM" TargetMode="External" Id="rId20" /><Relationship Type="http://schemas.openxmlformats.org/officeDocument/2006/relationships/hyperlink" Target="http://capitol.texas.gov/tlodocs/892/billtext/html/HB00016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