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CIVIL PRACTICE AND REMEDIES CODE</w:t>
      </w:r>
    </w:p>
    <w:p w:rsidR="003F3435" w:rsidRDefault="0032493E">
      <w:pPr>
        <w:spacing w:line="480" w:lineRule="auto"/>
        <w:jc w:val="center"/>
      </w:pPr>
      <w:r>
        <w:t xml:space="preserve">TITLE 5. GOVERNMENTAL LIABILITY</w:t>
      </w:r>
    </w:p>
    <w:p w:rsidR="003F3435" w:rsidRDefault="0032493E">
      <w:pPr>
        <w:spacing w:line="480" w:lineRule="auto"/>
        <w:jc w:val="center"/>
      </w:pPr>
      <w:r>
        <w:t xml:space="preserve">CHAPTER 106. DISCRIMINATION BECAUSE OF RACE, RELIGION, COLOR, SEX, OR NATIONAL ORIGIN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106.001.</w:t>
      </w:r>
      <w:r xml:space="preserve">
        <w:t> </w:t>
      </w:r>
      <w:r xml:space="preserve">
        <w:t> </w:t>
      </w:r>
      <w:r>
        <w:t xml:space="preserve">PROHIBITED ACTS.  (a)  An officer or employee of the state or of a political subdivision of the state who is acting or purporting to act in an official capacity may not, because of a person's race, religion, color, sex, or national origin: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refuse to issue to the person a license, permit, or certificate;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revoke or suspend the person's license, permit, or certificate;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refuse to permit the person to use facilities open to the public and owned, operated, or managed by or on behalf of the state or a political subdivision of the state;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refuse to permit the person to participate in a program owned, operated, or managed by or on behalf of the state or a political subdivision of the state;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refuse to grant a benefit to the person;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impose an unreasonable burden on the person;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refuse to award a contract to the person.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does not apply to a public school official who is acting under a plan reasonably designed to end discriminatory school practices.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This section does not prohibit the adoption of a program designed to increase the participation of businesses owned and controlled by women, minorities, or disadvantaged persons in public contract awards.</w:t>
      </w:r>
    </w:p>
    <w:p w:rsidR="003F3435" w:rsidRDefault="0032493E">
      <w:pPr>
        <w:spacing w:line="480" w:lineRule="auto"/>
        <w:jc w:val="both"/>
      </w:pPr>
      <w:r>
        <w:t xml:space="preserve">Acts 1985, 69th Leg., ch. 959, Sec. 1, eff. Sept. 1, 1985.  Amended by Acts 1987, 70th Leg., ch. 1058, Sec. 1, eff. Aug. 31, 1987;  Acts 1991, 72nd Leg., ch. 597, Sec. 56, eff. Sept. 1, 1991;  Acts 1991, 72nd Leg., ch. 665, Sec. 1, eff. June 16, 1991;  Acts 1999, 76th Leg., ch. 1499, Sec. 1.02, eff. Sept. 1, 1999.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106.002.</w:t>
      </w:r>
      <w:r xml:space="preserve">
        <w:t> </w:t>
      </w:r>
      <w:r xml:space="preserve">
        <w:t> </w:t>
      </w:r>
      <w:r>
        <w:t xml:space="preserve">REMEDIES.  (a)  If a person has violated or there are reasonable grounds to believe a person is about to violate Section </w:t>
      </w:r>
      <w:r>
        <w:t xml:space="preserve">106.001</w:t>
      </w:r>
      <w:r>
        <w:t xml:space="preserve">, the person aggrieved by the violation or threatened violation may sue for preventive relief, including a permanent or temporary injunction, a restraining order, or any other order.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an action under this section, unless the state is the prevailing party, the court may award the prevailing party reasonable attorney's fees as a part of the costs.  The state's liability for costs is the same as that of a private person.</w:t>
      </w:r>
    </w:p>
    <w:p w:rsidR="003F3435" w:rsidRDefault="0032493E">
      <w:pPr>
        <w:spacing w:line="480" w:lineRule="auto"/>
        <w:jc w:val="both"/>
      </w:pPr>
      <w:r>
        <w:t xml:space="preserve">Acts 1985, 69th Leg., ch. 959, Sec. 1, eff. Sept. 1, 1985.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106.003.</w:t>
      </w:r>
      <w:r xml:space="preserve">
        <w:t> </w:t>
      </w:r>
      <w:r xml:space="preserve">
        <w:t> </w:t>
      </w:r>
      <w:r>
        <w:t xml:space="preserve">PENALTIES.  (a)  A person commits an offense if the person knowingly violates Section </w:t>
      </w:r>
      <w:r>
        <w:t xml:space="preserve">106.001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offense under this section is a misdemeanor punishable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fine of not more than $1,000;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confinement in the county jail for not more than one year;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both the fine and confinement.</w:t>
      </w:r>
    </w:p>
    <w:p w:rsidR="003F3435" w:rsidRDefault="0032493E">
      <w:pPr>
        <w:spacing w:line="480" w:lineRule="auto"/>
        <w:jc w:val="both"/>
      </w:pPr>
      <w:r>
        <w:t xml:space="preserve">Acts 1985, 69th Leg., ch. 959, Sec. 1, eff. Sept. 1, 1985.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106.004.</w:t>
      </w:r>
      <w:r xml:space="preserve">
        <w:t> </w:t>
      </w:r>
      <w:r xml:space="preserve">
        <w:t> </w:t>
      </w:r>
      <w:r>
        <w:t xml:space="preserve">INAPPLICABILITY TO CERTAIN CLAIMS.  This chapter does not authorize a claim for preventive relief against the Texas Department of Criminal Justice, an employee of the department, or any other agency, agent, employee, or officer of this state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claim is brought by a person housed in a facility operated by or under contract with the department;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claim accrued while the person was housed in the facility.</w:t>
      </w:r>
    </w:p>
    <w:p w:rsidR="003F3435" w:rsidRDefault="0032493E">
      <w:pPr>
        <w:spacing w:line="480" w:lineRule="auto"/>
        <w:jc w:val="both"/>
      </w:pPr>
      <w:r>
        <w:t xml:space="preserve">Added by Acts 1995, 74th Leg., ch. 378, Sec. 4, eff. June 8, 1995.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