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5. GOVERNMENTAL LIABILITY</w:t>
      </w:r>
    </w:p>
    <w:p w:rsidR="003F3435" w:rsidRDefault="0032493E">
      <w:pPr>
        <w:spacing w:line="480" w:lineRule="auto"/>
        <w:jc w:val="center"/>
      </w:pPr>
      <w:r>
        <w:t xml:space="preserve">CHAPTER 112.  LIMITATION OF LIABILITY FOR GOVERNMENTAL UNITS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112.001.</w:t>
      </w:r>
      <w:r xml:space="preserve">
        <w:t> </w:t>
      </w:r>
      <w:r xml:space="preserve">
        <w:t> </w:t>
      </w:r>
      <w:r>
        <w:t xml:space="preserve">CERTAIN ACTIONS OF FIRST RESPONDERS AND VOLUNTEER EMERGENCY SERVICES PERSONNEL.  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and "volunteer emergency services personnel" have the meanings assigned by Section </w:t>
      </w:r>
      <w:r>
        <w:t xml:space="preserve">46.01</w:t>
      </w:r>
      <w:r>
        <w:t xml:space="preserve">, Penal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"Governmental unit" has the meaning assigned by Section </w:t>
      </w:r>
      <w:r>
        <w:t xml:space="preserve">101.001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governmental unit is not liable in a civil action arising from the discharge of a handgun by an individual who is a first responder or volunteer emergency services personnel and licensed to carry the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discharge of a handgun by an individual who is a first responder or volunteer emergency services personnel and licensed to carry the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Code, is outside the course and scope of the individual's duties as a first responder or volunteer emergency services personnel,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may not be construed to waive the immunity from suit or liability of a governmental unit under Chapter </w:t>
      </w:r>
      <w:r>
        <w:t xml:space="preserve">101</w:t>
      </w:r>
      <w:r>
        <w:t xml:space="preserve"> or any other law.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1143 (H.B. </w:t>
      </w:r>
      <w:hyperlink w:docLocation="table" r:id="rId14">
        <w:r>
          <w:rPr>
            <w:rStyle w:val="Hyperlink"/>
          </w:rPr>
          <w:t>435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1026 (H.B. </w:t>
      </w:r>
      <w:hyperlink w:docLocation="table" r:id="rId15">
        <w:r>
          <w:rPr>
            <w:rStyle w:val="Hyperlink"/>
          </w:rPr>
          <w:t>1069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1026 (H.B. </w:t>
      </w:r>
      <w:hyperlink w:docLocation="table" r:id="rId16">
        <w:r>
          <w:rPr>
            <w:rStyle w:val="Hyperlink"/>
          </w:rPr>
          <w:t>1069</w:t>
        </w:r>
      </w:hyperlink>
      <w:r>
        <w:t xml:space="preserve">), Sec. 2,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0435F.HTM" TargetMode="External" Id="rId14" /><Relationship Type="http://schemas.openxmlformats.org/officeDocument/2006/relationships/hyperlink" Target="http://www.legis.state.tx.us/tlodocs/87R/billtext/html/HB01069F.HTM" TargetMode="External" Id="rId15" /><Relationship Type="http://schemas.openxmlformats.org/officeDocument/2006/relationships/hyperlink" Target="http://www.legis.state.tx.us/tlodocs/87R/billtext/html/HB01069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