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5. GOVERNMENTAL LIABILITY</w:t>
      </w:r>
    </w:p>
    <w:p w:rsidR="003F3435" w:rsidRDefault="0032493E">
      <w:pPr>
        <w:spacing w:line="480" w:lineRule="auto"/>
        <w:jc w:val="center"/>
      </w:pPr>
      <w:r>
        <w:t xml:space="preserve">CHAPTER 112.  LIMITATION OF LIABILITY FOR GOVERNMENTAL UNITS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112.001.</w:t>
      </w:r>
      <w:r xml:space="preserve">
        <w:t> </w:t>
      </w:r>
      <w:r xml:space="preserve">
        <w:t> </w:t>
      </w:r>
      <w:r>
        <w:t xml:space="preserve">CERTAIN ACTIONS OF FIRST RESPONDERS, TACTICAL MEDICAL PROFESSIONALS, AND VOLUNTEER EMERGENCY SERVICES PERSONNEL.  (a)</w:t>
      </w:r>
      <w:r xml:space="preserve">
        <w:t> </w:t>
      </w:r>
      <w:r xml:space="preserve">
        <w:t> </w:t>
      </w:r>
      <w: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"First responder" and "volunteer emergency services personnel" have the meanings assigned by Section </w:t>
      </w:r>
      <w:r>
        <w:t xml:space="preserve">46.01</w:t>
      </w:r>
      <w:r>
        <w:t xml:space="preserve">, Penal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"Governmental unit" has the meaning assigned by Section </w:t>
      </w:r>
      <w:r>
        <w:t xml:space="preserve">101.001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"Tactical medical professional" has the meaning assigned by Section </w:t>
      </w:r>
      <w:r>
        <w:t xml:space="preserve">411.1884</w:t>
      </w:r>
      <w:r>
        <w:t xml:space="preserve">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governmental unit is not liable in a civil action arising from the discharge of a handgun by an individual who is a first responder, tactical medical professional, or volunteer emergency services personnel and licensed to carry the handgun under Subchapter </w:t>
      </w:r>
      <w:r>
        <w:t xml:space="preserve">H</w:t>
      </w:r>
      <w:r>
        <w:t xml:space="preserve">, Chapter </w:t>
      </w:r>
      <w:r>
        <w:t xml:space="preserve">411</w:t>
      </w:r>
      <w:r>
        <w:t xml:space="preserve">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discharge of a handgun by an individual who is a first responder, tactical medical professional, or volunteer emergency services personnel and licensed to carry the handgun under Subchapter </w:t>
      </w:r>
      <w:r>
        <w:t xml:space="preserve">H</w:t>
      </w:r>
      <w:r>
        <w:t xml:space="preserve">, Chapter </w:t>
      </w:r>
      <w:r>
        <w:t xml:space="preserve">411</w:t>
      </w:r>
      <w:r>
        <w:t xml:space="preserve">, Government Code, is outside the course and scope of the individual's duties as a first responder, tactical medical professional, or volunteer emergency services personnel, as applicable.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This section may not be construed to waive the immunity from suit or liability of a governmental unit under Chapter </w:t>
      </w:r>
      <w:r>
        <w:t xml:space="preserve">101</w:t>
      </w:r>
      <w:r>
        <w:t xml:space="preserve"> or any other law.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1143 (H.B. </w:t>
      </w:r>
      <w:hyperlink w:docLocation="table" r:id="rId14">
        <w:r>
          <w:rPr>
            <w:rStyle w:val="Hyperlink"/>
          </w:rPr>
          <w:t>435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1026 (H.B. </w:t>
      </w:r>
      <w:hyperlink w:docLocation="table" r:id="rId15">
        <w:r>
          <w:rPr>
            <w:rStyle w:val="Hyperlink"/>
          </w:rPr>
          <w:t>1069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1116 (H.B. </w:t>
      </w:r>
      <w:hyperlink w:docLocation="table" r:id="rId16">
        <w:r>
          <w:rPr>
            <w:rStyle w:val="Hyperlink"/>
          </w:rPr>
          <w:t>4995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1116 (H.B. </w:t>
      </w:r>
      <w:hyperlink w:docLocation="table" r:id="rId17">
        <w:r>
          <w:rPr>
            <w:rStyle w:val="Hyperlink"/>
          </w:rPr>
          <w:t>4995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1116 (H.B. </w:t>
      </w:r>
      <w:hyperlink w:docLocation="table" r:id="rId18">
        <w:r>
          <w:rPr>
            <w:rStyle w:val="Hyperlink"/>
          </w:rPr>
          <w:t>4995</w:t>
        </w:r>
      </w:hyperlink>
      <w:r>
        <w:t xml:space="preserve">), Sec. 3,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0435F.HTM" TargetMode="External" Id="rId14" /><Relationship Type="http://schemas.openxmlformats.org/officeDocument/2006/relationships/hyperlink" Target="http://capitol.texas.gov/tlodocs/87R/billtext/html/HB01069F.HTM" TargetMode="External" Id="rId15" /><Relationship Type="http://schemas.openxmlformats.org/officeDocument/2006/relationships/hyperlink" Target="http://capitol.texas.gov/tlodocs/89R/billtext/html/HB04995F.HTM" TargetMode="External" Id="rId16" /><Relationship Type="http://schemas.openxmlformats.org/officeDocument/2006/relationships/hyperlink" Target="http://capitol.texas.gov/tlodocs/89R/billtext/html/HB04995F.HTM" TargetMode="External" Id="rId17" /><Relationship Type="http://schemas.openxmlformats.org/officeDocument/2006/relationships/hyperlink" Target="http://capitol.texas.gov/tlodocs/89R/billtext/html/HB04995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