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5. GOVERNMENTAL LIABILITY</w:t>
      </w:r>
    </w:p>
    <w:p w:rsidR="003F3435" w:rsidRDefault="0032493E">
      <w:pPr>
        <w:spacing w:line="480" w:lineRule="auto"/>
        <w:jc w:val="center"/>
      </w:pPr>
      <w:r>
        <w:t xml:space="preserve">CHAPTER 116. SETTLEMENT OF CLAIM OR ACTION AGAINST GOVERNMENTAL UNIT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116.001.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"governmental unit" has the meaning assigned by Section </w:t>
      </w:r>
      <w:r>
        <w:t xml:space="preserve">101.001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688 (H.B. </w:t>
      </w:r>
      <w:hyperlink w:docLocation="table" r:id="rId14">
        <w:r>
          <w:rPr>
            <w:rStyle w:val="Hyperlink"/>
          </w:rPr>
          <w:t>53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116.002.</w:t>
      </w:r>
      <w:r xml:space="preserve">
        <w:t> </w:t>
      </w:r>
      <w:r xml:space="preserve">
        <w:t> </w:t>
      </w:r>
      <w:r>
        <w:t xml:space="preserve">CERTAIN SETTLEMENT TERMS PROHIBITED.  (a)</w:t>
      </w:r>
      <w:r xml:space="preserve">
        <w:t> </w:t>
      </w:r>
      <w:r xml:space="preserve">
        <w:t> </w:t>
      </w:r>
      <w:r>
        <w:t xml:space="preserve">A governmental unit may not enter into a settlement of a claim or action against the governmental unit in which: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amount of the settlement is equal to or greater than $30,000;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money that would be used to pay the settlement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derived from taxes collected by a governmental unit;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received from the state;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insurance proceeds received from an insurance policy for which the premium was paid with taxes collected by a governmental unit or money received from the state;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condition of the settlement requires a party seeking affirmative relief against the governmental unit to agree not to disclose any fact, allegation, evidence, or other matter to any other person, including a journalist or other member of the media.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settlement agreement provision entered into in violation of Subsection (a) is void and unenforceable.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688 (H.B. </w:t>
      </w:r>
      <w:hyperlink w:docLocation="table" r:id="rId15">
        <w:r>
          <w:rPr>
            <w:rStyle w:val="Hyperlink"/>
          </w:rPr>
          <w:t>53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116.003.</w:t>
      </w:r>
      <w:r xml:space="preserve">
        <w:t> </w:t>
      </w:r>
      <w:r xml:space="preserve">
        <w:t> </w:t>
      </w:r>
      <w:r>
        <w:t xml:space="preserve">EFFECT OF CHAPTER.</w:t>
      </w:r>
      <w:r xml:space="preserve">
        <w:t> </w:t>
      </w:r>
      <w:r xml:space="preserve">
        <w:t> </w:t>
      </w:r>
      <w:r>
        <w:t xml:space="preserve">This chapter does not affect information that is privileged or confidential under other law.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688 (H.B. </w:t>
      </w:r>
      <w:hyperlink w:docLocation="table" r:id="rId16">
        <w:r>
          <w:rPr>
            <w:rStyle w:val="Hyperlink"/>
          </w:rPr>
          <w:t>53</w:t>
        </w:r>
      </w:hyperlink>
      <w:r>
        <w:t xml:space="preserve">), Sec. 1,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0053F.HTM" TargetMode="External" Id="rId14" /><Relationship Type="http://schemas.openxmlformats.org/officeDocument/2006/relationships/hyperlink" Target="http://capitol.texas.gov/tlodocs/85R/billtext/html/HB00053F.HTM" TargetMode="External" Id="rId15" /><Relationship Type="http://schemas.openxmlformats.org/officeDocument/2006/relationships/hyperlink" Target="http://capitol.texas.gov/tlodocs/85R/billtext/html/HB00053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