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CIVIL PRACTICE AND REMEDIES CODE</w:t>
      </w:r>
    </w:p>
    <w:p w:rsidR="003F3435" w:rsidRDefault="0032493E">
      <w:pPr>
        <w:spacing w:line="480" w:lineRule="auto"/>
        <w:jc w:val="center"/>
      </w:pPr>
      <w:r>
        <w:t xml:space="preserve">TITLE 6. MISCELLANEOUS PROVISIONS</w:t>
      </w:r>
    </w:p>
    <w:p w:rsidR="003F3435" w:rsidRDefault="0032493E">
      <w:pPr>
        <w:spacing w:line="480" w:lineRule="auto"/>
        <w:jc w:val="center"/>
      </w:pPr>
      <w:r>
        <w:t xml:space="preserve">CHAPTER 123. INTERCEPTION OF COMMUNICATION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123.001.</w:t>
      </w:r>
      <w:r xml:space="preserve">
        <w:t> </w:t>
      </w:r>
      <w:r xml:space="preserve">
        <w:t> </w:t>
      </w:r>
      <w: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"Communication" means speech uttered by a person or information including speech that is transmitted in whole or in part with the aid of a wire or cable.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"Interception" means the aural acquisition of the contents of a communication through the use of an interception device that is made without the consent of a party to the communication, but does not include the ordinary use of: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 telephone or telegraph instrument or facility or telephone and telegraph equipment;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hearing aid designed to correct subnormal hearing to not better than normal;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radio, television, or other wireless receiver;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a cable system that relays a public wireless broadcast from a common antenna to a receiver.</w:t>
      </w:r>
    </w:p>
    <w:p w:rsidR="003F3435" w:rsidRDefault="0032493E">
      <w:pPr>
        <w:spacing w:line="480" w:lineRule="auto"/>
        <w:jc w:val="both"/>
      </w:pPr>
      <w:r>
        <w:t xml:space="preserve">Acts 1985, 69th Leg., ch. 959, Sec. 1, eff. Sept. 1, 1985.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2017, 85th Leg., R.S., Ch. 1058 (H.B. </w:t>
      </w:r>
      <w:hyperlink w:docLocation="table" r:id="rId14">
        <w:r>
          <w:rPr>
            <w:rStyle w:val="Hyperlink"/>
          </w:rPr>
          <w:t>2931</w:t>
        </w:r>
      </w:hyperlink>
      <w:r>
        <w:t xml:space="preserve">), Sec. 3.02, eff. January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123.002.</w:t>
      </w:r>
      <w:r xml:space="preserve">
        <w:t> </w:t>
      </w:r>
      <w:r xml:space="preserve">
        <w:t> </w:t>
      </w:r>
      <w:r>
        <w:t xml:space="preserve">CAUSE OF ACTION.  (a)  A party to a communication may sue a person who: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intercepts, attempts to intercept, or employs or obtains another to intercept or attempt to intercept the communication;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uses or divulges information that he knows or reasonably should know was obtained by interception of the communication;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as a landlord, building operator, or communication common carrier, either personally or through an agent or employee, aids or knowingly permits interception or attempted interception of the communication.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This section does not apply to a party to a communication if an interception or attempted interception of the communication is authorized by Title 18, United States Code, Section 2516.</w:t>
      </w:r>
    </w:p>
    <w:p w:rsidR="003F3435" w:rsidRDefault="0032493E">
      <w:pPr>
        <w:spacing w:line="480" w:lineRule="auto"/>
        <w:jc w:val="both"/>
      </w:pPr>
      <w:r>
        <w:t xml:space="preserve">Acts 1985, 69th Leg., ch. 959, Sec. 1, eff. Sept. 1, 1985.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123.003.</w:t>
      </w:r>
      <w:r xml:space="preserve">
        <w:t> </w:t>
      </w:r>
      <w:r xml:space="preserve">
        <w:t> </w:t>
      </w:r>
      <w:r>
        <w:t xml:space="preserve">DEFENSE.  (a)  A switchboard operator or an officer, employee, or agent of a communication common carrier whose facilities are used in the transmission of a wire communication may intercept, disclose, or use a communication in the normal course of employment if engaged in an activity that is necessary to service or for the protection of the carrier's rights or property.  A communication common carrier may not use service observation or random monitoring except for mechanical or service quality control checks.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It is a defense to an action under Section </w:t>
      </w:r>
      <w:r>
        <w:t xml:space="preserve">123.002</w:t>
      </w:r>
      <w:r>
        <w:t xml:space="preserve"> that an interception, disclosure, or use of a communication is permitted by this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defendant must establish by a preponderance of the evidence a defense raised under this section.</w:t>
      </w:r>
    </w:p>
    <w:p w:rsidR="003F3435" w:rsidRDefault="0032493E">
      <w:pPr>
        <w:spacing w:line="480" w:lineRule="auto"/>
        <w:jc w:val="both"/>
      </w:pPr>
      <w:r>
        <w:t xml:space="preserve">Acts 1985, 69th Leg., ch. 959, Sec. 1, eff. Sept. 1, 1985.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123.004.</w:t>
      </w:r>
      <w:r xml:space="preserve">
        <w:t> </w:t>
      </w:r>
      <w:r xml:space="preserve">
        <w:t> </w:t>
      </w:r>
      <w:r>
        <w:t xml:space="preserve">DAMAGES.  A person who establishes a cause of action under this chapter is entitled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an injunction prohibiting a further interception, attempted interception, or divulgence or use of information obtained by an interception;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statutory damages of $10,000 for each occurrence;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all actual damages in excess of $10,000;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punitive damages in an amount determined by the court or jury;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reasonable attorney's fees and costs.</w:t>
      </w:r>
    </w:p>
    <w:p w:rsidR="003F3435" w:rsidRDefault="0032493E">
      <w:pPr>
        <w:spacing w:line="480" w:lineRule="auto"/>
        <w:jc w:val="both"/>
      </w:pPr>
      <w:r>
        <w:t xml:space="preserve">Acts 1985, 69th Leg., ch. 959, Sec. 1, eff. Sept. 1, 1985.  Amended by Acts 2001, 77th Leg., ch. 1049, Sec. 1, eff. Sept. 1, 2001.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5R/billtext/html/HB02931F.HTM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