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6. MISCELLANEOUS PROVISIONS</w:t>
      </w:r>
    </w:p>
    <w:p w:rsidR="003F3435" w:rsidRDefault="0032493E">
      <w:pPr>
        <w:spacing w:line="480" w:lineRule="auto"/>
        <w:jc w:val="center"/>
      </w:pPr>
      <w:r>
        <w:t xml:space="preserve">CHAPTER 142A.  LIMITATION ON LIABILITY FOR CERTAIN PROGRAMS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142A.001.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"Employee" means a person who, for compensation, performs services for an employer under a written or oral contract, whether express or implied.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"Employee wellness program" means a program established by an employer that provides an incentive to an employee that promotes wellness or a healthy lifestyle.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774 (H.B. </w:t>
      </w:r>
      <w:hyperlink w:docLocation="table" r:id="rId14">
        <w:r>
          <w:rPr>
            <w:rStyle w:val="Hyperlink"/>
          </w:rPr>
          <w:t>2390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142A.002.</w:t>
      </w:r>
      <w:r xml:space="preserve">
        <w:t> </w:t>
      </w:r>
      <w:r xml:space="preserve">
        <w:t> </w:t>
      </w:r>
      <w:r>
        <w:t xml:space="preserve">LIMITATION ON LIABILITY FOR WELLNESS PROGRAMS.  (a)</w:t>
      </w:r>
      <w:r xml:space="preserve">
        <w:t> </w:t>
      </w:r>
      <w:r xml:space="preserve">
        <w:t> </w:t>
      </w:r>
      <w:r>
        <w:t xml:space="preserve">A civil action may not be brought against an employer for establishing, maintaining, or requiring participation in an employee wellness program unless: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program discriminates on the basis of a prior medical condition, gender, age, or income level;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cause of action is based on intentional or reckless conduct.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create a cause of action or expand an existing cause of action.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774 (H.B. </w:t>
      </w:r>
      <w:hyperlink w:docLocation="table" r:id="rId15">
        <w:r>
          <w:rPr>
            <w:rStyle w:val="Hyperlink"/>
          </w:rPr>
          <w:t>2390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2390F.HTM" TargetMode="External" Id="rId14" /><Relationship Type="http://schemas.openxmlformats.org/officeDocument/2006/relationships/hyperlink" Target="http://capitol.texas.gov/tlodocs/84R/billtext/html/HB02390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