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143. HARMFUL ACCESS BY COMPUTER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143.001.</w:t>
      </w:r>
      <w:r xml:space="preserve">
        <w:t> </w:t>
      </w:r>
      <w:r xml:space="preserve">
        <w:t> </w:t>
      </w:r>
      <w:r>
        <w:t xml:space="preserve">CAUSE OF ACTION.  (a)  A person who is injured or whose property has been injured as a result of a violation under Chapter </w:t>
      </w:r>
      <w:r>
        <w:t xml:space="preserve">33</w:t>
      </w:r>
      <w:r>
        <w:t xml:space="preserve">, Penal Code, has a civil cause of action if the conduct constituting the violation was committed knowingly or intentionally.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must bring suit for damages under this section before the earlier of the fifth anniversary of the date of the last act in the course of the conduct constituting a violation under Chapter </w:t>
      </w:r>
      <w:r>
        <w:t xml:space="preserve">33</w:t>
      </w:r>
      <w:r>
        <w:t xml:space="preserve">, Penal Code, or the second anniversary of the date the claimant first discovered or had reasonable opportunity to discover the violation.</w:t>
      </w:r>
    </w:p>
    <w:p w:rsidR="003F3435" w:rsidRDefault="0032493E">
      <w:pPr>
        <w:spacing w:line="480" w:lineRule="auto"/>
        <w:jc w:val="both"/>
      </w:pPr>
      <w:r>
        <w:t xml:space="preserve">Added by Acts 1989, 71st Leg., ch. 306, Sec. 5,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143.002.</w:t>
      </w:r>
      <w:r xml:space="preserve">
        <w:t> </w:t>
      </w:r>
      <w:r xml:space="preserve">
        <w:t> </w:t>
      </w:r>
      <w:r>
        <w:t xml:space="preserve">DAMAGES.  A person who establishes a cause of action under this chapter is entitled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actual damages;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attorney's fees and costs.</w:t>
      </w:r>
    </w:p>
    <w:p w:rsidR="003F3435" w:rsidRDefault="0032493E">
      <w:pPr>
        <w:spacing w:line="480" w:lineRule="auto"/>
        <w:jc w:val="both"/>
      </w:pPr>
      <w:r>
        <w:t xml:space="preserve">Added by Acts 1989, 71st Leg., ch. 306, Sec. 5, eff. Sept. 1, 1989.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