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4. LIABILITY IN TORT</w:t>
      </w:r>
    </w:p>
    <w:p w:rsidR="003F3435" w:rsidRDefault="0032493E">
      <w:pPr>
        <w:spacing w:line="480" w:lineRule="auto"/>
        <w:jc w:val="center"/>
      </w:pPr>
      <w:r>
        <w:t xml:space="preserve">CHAPTER 83.  USE OF FORCE OR DEADLY FORCE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83.001.</w:t>
      </w:r>
      <w:r xml:space="preserve">
        <w:t> </w:t>
      </w:r>
      <w:r xml:space="preserve">
        <w:t> </w:t>
      </w:r>
      <w:r>
        <w:t xml:space="preserve">CIVIL IMMUNITY.  A defendant who uses force or deadly force that is justified under Chapter </w:t>
      </w:r>
      <w:r>
        <w:t xml:space="preserve">9</w:t>
      </w:r>
      <w:r>
        <w:t xml:space="preserve">, Penal Code, is immune from civil liability for personal injury or death that results from the defendant's use of force or deadly force, as applicable.</w:t>
      </w:r>
    </w:p>
    <w:p w:rsidR="003F3435" w:rsidRDefault="0032493E">
      <w:pPr>
        <w:spacing w:line="480" w:lineRule="auto"/>
        <w:jc w:val="both"/>
      </w:pPr>
      <w:r>
        <w:t xml:space="preserve">Added by Acts 1995, 74th Leg., ch. 235, Sec. 2,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1 (S.B. </w:t>
      </w:r>
      <w:hyperlink w:docLocation="table" r:id="rId14">
        <w:r>
          <w:rPr>
            <w:rStyle w:val="Hyperlink"/>
          </w:rPr>
          <w:t>378</w:t>
        </w:r>
      </w:hyperlink>
      <w:r>
        <w:t xml:space="preserve">), Sec. 4, eff. September 1, 2007.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SB00378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