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CIVIL PRACTICE AND REMEDIES CODE</w:t>
      </w:r>
    </w:p>
    <w:p w:rsidR="003F3435" w:rsidRDefault="0032493E">
      <w:pPr>
        <w:spacing w:line="480" w:lineRule="auto"/>
        <w:jc w:val="center"/>
      </w:pPr>
      <w:r>
        <w:t xml:space="preserve">TITLE 4. LIABILITY IN TORT</w:t>
      </w:r>
    </w:p>
    <w:p w:rsidR="003F3435" w:rsidRDefault="0032493E">
      <w:pPr>
        <w:spacing w:line="480" w:lineRule="auto"/>
        <w:jc w:val="center"/>
      </w:pPr>
      <w:r>
        <w:t xml:space="preserve">CHAPTER 92A.  LIMITATION OF LIABILITY FOR REMOVING CERTAIN INDIVIDUALS FROM MOTOR VEHICLE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92A.001.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"Motor vehicle" means a vehicle that is self-propelled or a trailer or semitrailer designed for use with a self-propelled vehicle.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"Vulnerable individual"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child younger than seven years of age;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individual who by reason of age or physical or mental disease, defect, or injury is substantially unable to protect the individual's self from harm.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694 (H.B. </w:t>
      </w:r>
      <w:hyperlink w:docLocation="table" r:id="rId14">
        <w:r>
          <w:rPr>
            <w:rStyle w:val="Hyperlink"/>
          </w:rPr>
          <w:t>478</w:t>
        </w:r>
      </w:hyperlink>
      <w:r>
        <w:t xml:space="preserve">), Sec. 1, eff. September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92A.002.</w:t>
      </w:r>
      <w:r xml:space="preserve">
        <w:t> </w:t>
      </w:r>
      <w:r xml:space="preserve">
        <w:t> </w:t>
      </w:r>
      <w:r>
        <w:t xml:space="preserve">LIMITATION OF LIABILITY.</w:t>
      </w:r>
      <w:r xml:space="preserve">
        <w:t> </w:t>
      </w:r>
      <w:r xml:space="preserve">
        <w:t> </w:t>
      </w:r>
      <w:r>
        <w:t xml:space="preserve">A person who, by force or otherwise, enters a motor vehicle for the purpose of removing a vulnerable individual from the vehicle is immune from civil liability for damages resulting from that entry or removal if the person: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determines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motor vehicle is locked;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there is no reasonable method for the individual to exit the motor vehicle without assistance;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has a good faith and reasonable belief, based on known circumstances, that entry into the motor vehicle is necessary to avoid imminent harm to the individual;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before entering the motor vehicle, ensures that law enforcement is notified or 911 is called if the person is not a law enforcement officer or other first responder;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uses no more force to enter the motor vehicle and remove the individual than is necessary;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remains with the individual in a safe location that is in reasonable proximity to the motor vehicle until a law enforcement officer or other first responder arrives.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694 (H.B. </w:t>
      </w:r>
      <w:hyperlink w:docLocation="table" r:id="rId15">
        <w:r>
          <w:rPr>
            <w:rStyle w:val="Hyperlink"/>
          </w:rPr>
          <w:t>478</w:t>
        </w:r>
      </w:hyperlink>
      <w:r>
        <w:t xml:space="preserve">), Sec. 1, eff. September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92A.003.</w:t>
      </w:r>
      <w:r xml:space="preserve">
        <w:t> </w:t>
      </w:r>
      <w:r xml:space="preserve">
        <w:t> </w:t>
      </w:r>
      <w:r>
        <w:t xml:space="preserve">EFFECT ON OTHER LAWS.</w:t>
      </w:r>
      <w:r xml:space="preserve">
        <w:t> </w:t>
      </w:r>
      <w:r xml:space="preserve">
        <w:t> </w:t>
      </w:r>
      <w:r>
        <w:t xml:space="preserve">This chapter does not affect limitation under Section </w:t>
      </w:r>
      <w:r>
        <w:t xml:space="preserve">74.151</w:t>
      </w:r>
      <w:r>
        <w:t xml:space="preserve"> or </w:t>
      </w:r>
      <w:r>
        <w:t xml:space="preserve">74.152</w:t>
      </w:r>
      <w:r>
        <w:t xml:space="preserve"> of a person's liability for good faith administration of emergency care.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694 (H.B. </w:t>
      </w:r>
      <w:hyperlink w:docLocation="table" r:id="rId16">
        <w:r>
          <w:rPr>
            <w:rStyle w:val="Hyperlink"/>
          </w:rPr>
          <w:t>478</w:t>
        </w:r>
      </w:hyperlink>
      <w:r>
        <w:t xml:space="preserve">), Sec. 1, eff. September 1, 2017.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5R/billtext/html/HB00478F.HTM" TargetMode="External" Id="rId14" /><Relationship Type="http://schemas.openxmlformats.org/officeDocument/2006/relationships/hyperlink" Target="http://capitol.texas.gov/tlodocs/85R/billtext/html/HB00478F.HTM" TargetMode="External" Id="rId15" /><Relationship Type="http://schemas.openxmlformats.org/officeDocument/2006/relationships/hyperlink" Target="http://capitol.texas.gov/tlodocs/85R/billtext/html/HB00478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