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4. LIABILITY IN TORT</w:t>
      </w:r>
    </w:p>
    <w:p w:rsidR="003F3435" w:rsidRDefault="0032493E">
      <w:pPr>
        <w:spacing w:line="480" w:lineRule="auto"/>
        <w:jc w:val="center"/>
      </w:pPr>
      <w:r>
        <w:t xml:space="preserve">CHAPTER 95A.  ACTIONS INVOLVING THE CARRYING OF HANDGUNS ON CERTAIN PROPERTY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95A.0001.</w:t>
      </w:r>
      <w:r xml:space="preserve">
        <w:t> </w:t>
      </w:r>
      <w:r xml:space="preserve">
        <w:t> </w:t>
      </w:r>
      <w:r>
        <w:t xml:space="preserve">EVIDENCE OF FAILURE TO FORBID HANDGUNS.</w:t>
      </w:r>
      <w:r xml:space="preserve">
        <w:t> </w:t>
      </w:r>
      <w:r xml:space="preserve">
        <w:t> </w:t>
      </w:r>
      <w:r>
        <w:t xml:space="preserve">The fact that a card, sign, or other document described by Section </w:t>
      </w:r>
      <w:r>
        <w:t xml:space="preserve">30.06</w:t>
      </w:r>
      <w:r>
        <w:t xml:space="preserve">(c)(3) or </w:t>
      </w:r>
      <w:r>
        <w:t xml:space="preserve">30.07</w:t>
      </w:r>
      <w:r>
        <w:t xml:space="preserve">(c)(3), Penal Code, is not posted on the property of a business or any other evidence that a person failed to exercise the person's option to forbid the carrying of a handgun by a license holder on the property: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not admissible as evidence in a trial on the merits in an action: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against a person, including a business or other entity, who owns, controls, or manages the property;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which the cause of action arises from an injury sustained on the property;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does not support a cause of action described by Subdivision (1) against a person described by that subdivision.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974 (S.B. </w:t>
      </w:r>
      <w:hyperlink w:docLocation="table" r:id="rId14">
        <w:r>
          <w:rPr>
            <w:rStyle w:val="Hyperlink"/>
          </w:rPr>
          <w:t>772</w:t>
        </w:r>
      </w:hyperlink>
      <w:r>
        <w:t xml:space="preserve">), Sec. 1,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SB00772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