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CODE OF CRIMINAL PROCEDURE</w:t>
      </w:r>
    </w:p>
    <w:p w:rsidR="003F3435" w:rsidRDefault="0032493E">
      <w:pPr>
        <w:spacing w:line="480" w:lineRule="auto"/>
        <w:jc w:val="center"/>
      </w:pPr>
      <w:r>
        <w:t xml:space="preserve">TITLE 1. CODE OF CRIMINAL PROCEDURE</w:t>
      </w:r>
    </w:p>
    <w:p w:rsidR="003F3435" w:rsidRDefault="0032493E">
      <w:pPr>
        <w:spacing w:line="480" w:lineRule="auto"/>
        <w:jc w:val="center"/>
      </w:pPr>
      <w:r>
        <w:t xml:space="preserve">CHAPTER 32A. SPEEDY TRIAL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Art. 32A.01.</w:t>
      </w:r>
      <w:r xml:space="preserve">
        <w:t> </w:t>
      </w:r>
      <w:r xml:space="preserve">
        <w:t> </w:t>
      </w:r>
      <w:r>
        <w:t xml:space="preserve">TRIAL PRIORITIES.  (a)</w:t>
      </w:r>
      <w:r xml:space="preserve">
        <w:t> </w:t>
      </w:r>
      <w:r xml:space="preserve">
        <w:t> </w:t>
      </w:r>
      <w:r>
        <w:t xml:space="preserve">Insofar as is practicable, the trial of a criminal action shall be given preference over trials of civil cases, and the trial of a criminal action against a defendant who is detained in jail pending trial of the action shall be given preference over trials of other criminal actions not described by Subsection (b) or (c).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Unless extraordinary circumstances require otherwise, the trial of a criminal action in which the alleged victim is younger than 14 years of age shall be given preference over other matters before the court, whether civil or criminal.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Except as provided by Subsection (b), the trial of a criminal action against a defendant who has been determined to be restored to competency under Article </w:t>
      </w:r>
      <w:r>
        <w:t xml:space="preserve">46B.084</w:t>
      </w:r>
      <w:r>
        <w:t xml:space="preserve"> shall be given preference over other matters before the court, whether civil or criminal.</w:t>
      </w:r>
    </w:p>
    <w:p w:rsidR="003F3435" w:rsidRDefault="0032493E">
      <w:pPr>
        <w:spacing w:line="480" w:lineRule="auto"/>
        <w:jc w:val="both"/>
      </w:pPr>
      <w:r>
        <w:t xml:space="preserve">Acts 1977, 65th Leg., p. 1970, ch. 787, Sec. 1, eff. July 1, 1978.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2015, 84th Leg., R.S., Ch. 1251 (H.B. </w:t>
      </w:r>
      <w:hyperlink w:docLocation="table" r:id="rId14">
        <w:r>
          <w:rPr>
            <w:rStyle w:val="Hyperlink"/>
          </w:rPr>
          <w:t>1396</w:t>
        </w:r>
      </w:hyperlink>
      <w:r>
        <w:t xml:space="preserve">), Sec. 3, eff. September 1, 2015.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2017, 85th Leg., R.S., Ch. 748 (S.B. </w:t>
      </w:r>
      <w:hyperlink w:docLocation="table" r:id="rId15">
        <w:r>
          <w:rPr>
            <w:rStyle w:val="Hyperlink"/>
          </w:rPr>
          <w:t>1326</w:t>
        </w:r>
      </w:hyperlink>
      <w:r>
        <w:t xml:space="preserve">), Sec. 4, eff. September 1, 2017.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4R/billtext/html/HB01396F.HTM" TargetMode="External" Id="rId14" /><Relationship Type="http://schemas.openxmlformats.org/officeDocument/2006/relationships/hyperlink" Target="http://capitol.texas.gov/tlodocs/85R/billtext/html/SB01326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