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9. OFFENSES INJURIOUS TO PUBLIC HEALTH</w:t>
      </w:r>
    </w:p>
    <w:p w:rsidR="003F3435" w:rsidRDefault="0032493E">
      <w:pPr>
        <w:spacing w:line="480" w:lineRule="auto"/>
        <w:jc w:val="both"/>
      </w:pPr>
    </w:p>
    <w:p w:rsidR="003F3435" w:rsidRDefault="0032493E">
      <w:pPr>
        <w:spacing w:line="480" w:lineRule="auto"/>
        <w:ind w:firstLine="720"/>
        <w:jc w:val="both"/>
      </w:pPr>
      <w:r>
        <w:t xml:space="preserve">Art. 9.01. TRADE INJURIOUS TO HEALTH.  After an indictment or information has been presented against any person for carrying on a trade, business or occupation injurious to the health of those in the neighborhood, the court shall have power, on the application of anyone interested, and after hearing proof both for and against the accused, to restrain the defendant, in such penalty as may be deemed proper, from carrying on such trade, business or occupation, or may make such order respecting the manner and place of carrying on the same as may be deemed advisable;  and if upon trial, the defendant be convicted, the restraint shall be made perpetual, and the party shall be required to enter into bond, with security, not to continue such trade, business or occupation to the detriment of the health of such neighborhood, or of any other neighborhood within the county.</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9.02. REFUSAL TO GIVE BOND.  If the party refuses to give bond when required under the provisions of the preceding Article, the court may either commit him to jail, or make an order requiring the sheriff to seize upon the implements of such trade, business or occupation, or the goods and property used in conducting such trade, business or occupation, and destroy the same.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9.03. REQUISITES OF BOND.  Such bond shall be payable to the State of Texas, in a reasonable amount to be fixed by the court, conditioned that the defendant will not carry on such trade, business or occupation, naming the same, at such place, naming the place, or at any other place in the county, to the detriment of the health of the neighborhood.  The bond shall be signed by the defendant and his sureties and dated, and shall be approved by the court taking the same, and filed in such court.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9.04. SUIT UPON BOND.  Any such bond, upon the breach thereof, may be sued upon by the district or county attorney, in the name of the State of Texas, within two years after such breach, and not afterwards;  and such suits shall be governed by the same rules as civil actions.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9.05. PROOF.  It shall be sufficient proof of the breach of any such bond to show that the party continued after executing the same, to carry on the trade, business or occupation which he bound himself to discontinue;  and the full amount of such bond may be recovered of the defendant and his sureties.</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9.06. UNWHOLESOME FOOD.  After conviction for selling unwholesome food or adulterated medicine, the court shall enter and issue an order to the sheriff or other proper officer to seize and destroy such as remains in the hands of the defendant.</w:t>
      </w:r>
    </w:p>
    <w:p w:rsidR="003F3435" w:rsidRDefault="0032493E">
      <w:pPr>
        <w:spacing w:line="480" w:lineRule="auto"/>
        <w:jc w:val="both"/>
      </w:pPr>
      <w:r>
        <w:t xml:space="preserve">Acts 1965, 59th Leg., vol. 2, p. 317, ch. 722.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