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ESTATES CODE</w:t>
      </w:r>
    </w:p>
    <w:p w:rsidR="003F3435" w:rsidRDefault="0032493E">
      <w:pPr>
        <w:spacing w:line="480" w:lineRule="auto"/>
        <w:jc w:val="center"/>
      </w:pPr>
      <w:r>
        <w:t xml:space="preserve">TITLE 3. GUARDIANSHIP AND RELATED PROCEDURES</w:t>
      </w:r>
    </w:p>
    <w:p w:rsidR="003F3435" w:rsidRDefault="0032493E">
      <w:pPr>
        <w:spacing w:line="480" w:lineRule="auto"/>
        <w:jc w:val="center"/>
      </w:pPr>
      <w:r>
        <w:t xml:space="preserve">SUBTITLE B. SCOPE, JURISDICTION, AND VENUE</w:t>
      </w:r>
    </w:p>
    <w:p w:rsidR="003F3435" w:rsidRDefault="0032493E">
      <w:pPr>
        <w:spacing w:line="480" w:lineRule="auto"/>
        <w:jc w:val="center"/>
      </w:pPr>
      <w:r>
        <w:t xml:space="preserve">CHAPTER 1021.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1021.001.</w:t>
      </w:r>
      <w:r xml:space="preserve">
        <w:t> </w:t>
      </w:r>
      <w:r xml:space="preserve">
        <w:t> </w:t>
      </w:r>
      <w:r>
        <w:t xml:space="preserve">MATTERS RELATED TO GUARDIANSHIP PROCEEDING.  (a)</w:t>
      </w:r>
      <w:r xml:space="preserve">
        <w:t> </w:t>
      </w:r>
      <w:r xml:space="preserve">
        <w:t> </w:t>
      </w:r>
      <w:r>
        <w:t xml:space="preserve">For purposes of this code, in a county in which there is no statutory probate court or county court at law exercising original probate jurisdiction, a matter related to a guardianship proceeding includes: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granting of letters of guardianship;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settling of an account of a guardian and all other matters relating to the settlement, partition, or distribution of a ward's estate;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claim brought by or against a guardianship estate;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an action for trial of title to real property that is guardianship estate property, including the enforcement of a lien against the property;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an action for trial of the right of property that is guardianship estate property;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after a guardianship of the estate of a ward is required to be settled as provided by Section </w:t>
      </w:r>
      <w:r>
        <w:t xml:space="preserve">1204.001</w:t>
      </w:r>
      <w:r>
        <w:t xml:space="preserve">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an action brought by or on behalf of the former ward against a former guardian of the ward for alleged misconduct arising from the performance of the person's duties as guardian;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action calling on the surety of a guardian or former guardian to perform in place of the guardian or former guardian, which may include the award of a judgment against the guardian or former guardian in favor of the surety;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action against a former guardian of the former ward that is brought by a surety that is called on to perform in place of the former guardian;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 claim for the payment of compensation, expenses, and court costs, and any other matter authorized under Chapter </w:t>
      </w:r>
      <w:r>
        <w:t xml:space="preserve">1155</w:t>
      </w:r>
      <w:r>
        <w:t xml:space="preserve">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a matter related to an authorization made or duty performed by a guardian under Chapter </w:t>
      </w:r>
      <w:r>
        <w:t xml:space="preserve">1204</w:t>
      </w:r>
      <w:r>
        <w:t xml:space="preserve">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the appointment of a trustee for a trust created under Section </w:t>
      </w:r>
      <w:r>
        <w:t xml:space="preserve">1301.053</w:t>
      </w:r>
      <w:r>
        <w:t xml:space="preserve"> or </w:t>
      </w:r>
      <w:r>
        <w:t xml:space="preserve">1301.054</w:t>
      </w:r>
      <w:r>
        <w:t xml:space="preserve">, the settling of an account of the trustee, and all other matters relating to the trust.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(a-1)</w:t>
      </w:r>
      <w:r xml:space="preserve">
        <w:t> </w:t>
      </w:r>
      <w:r xml:space="preserve">
        <w:t> </w:t>
      </w:r>
      <w:r>
        <w:t xml:space="preserve">For purposes of this code, in a county in which there is no statutory probate court, but in which there is a county court at law exercising original probate jurisdiction, a matter related to a guardianship proceeding includes: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all matters and actions described in Subsection (a);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interpretation and administration of a testamentary trust in which a ward is an income or remainder beneficiary;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interpretation and administration of an inter vivos trust in which a ward is an income or remainder beneficiary.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For purposes of this code, in a county in which there is a statutory probate court, a matter related to a guardianship proceeding includes: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all matters and actions described in Subsections (a) and (a-1);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suit, action, or application filed against or on behalf of a guardianship or a trustee of a trust created under Section </w:t>
      </w:r>
      <w:r>
        <w:t xml:space="preserve">1301.053</w:t>
      </w:r>
      <w:r>
        <w:t xml:space="preserve"> or </w:t>
      </w:r>
      <w:r>
        <w:t xml:space="preserve">1301.054</w:t>
      </w:r>
      <w:r>
        <w:t xml:space="preserve">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cause of action in which a guardian in a guardianship pending in the statutory probate court is a party.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161 (S.B. </w:t>
      </w:r>
      <w:hyperlink w:docLocation="table" r:id="rId14">
        <w:r>
          <w:rPr>
            <w:rStyle w:val="Hyperlink"/>
          </w:rPr>
          <w:t>1093</w:t>
        </w:r>
      </w:hyperlink>
      <w:r>
        <w:t xml:space="preserve">), Sec. 6.015(a), eff. January 1, 2014.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2015, 84th Leg., R.S., Ch. 1236 (S.B. </w:t>
      </w:r>
      <w:hyperlink w:docLocation="table" r:id="rId15">
        <w:r>
          <w:rPr>
            <w:rStyle w:val="Hyperlink"/>
          </w:rPr>
          <w:t>1296</w:t>
        </w:r>
      </w:hyperlink>
      <w:r>
        <w:t xml:space="preserve">), Sec. 20.007, eff. September 1, 2015.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2021, 87th Leg., R.S., Ch. 521 (S.B. </w:t>
      </w:r>
      <w:hyperlink w:docLocation="table" r:id="rId16">
        <w:r>
          <w:rPr>
            <w:rStyle w:val="Hyperlink"/>
          </w:rPr>
          <w:t>626</w:t>
        </w:r>
      </w:hyperlink>
      <w:r>
        <w:t xml:space="preserve">), Sec. 13, eff. September 1, 2021.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3R/billtext/html/SB01093F.HTM" TargetMode="External" Id="rId14" /><Relationship Type="http://schemas.openxmlformats.org/officeDocument/2006/relationships/hyperlink" Target="http://capitol.texas.gov/tlodocs/84R/billtext/html/SB01296F.HTM" TargetMode="External" Id="rId15" /><Relationship Type="http://schemas.openxmlformats.org/officeDocument/2006/relationships/hyperlink" Target="http://capitol.texas.gov/tlodocs/87R/billtext/html/SB00626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