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ESTATES CODE</w:t>
      </w:r>
    </w:p>
    <w:p w:rsidR="003F3435" w:rsidRDefault="0032493E">
      <w:pPr>
        <w:spacing w:line="480" w:lineRule="auto"/>
        <w:jc w:val="center"/>
      </w:pPr>
      <w:r>
        <w:t xml:space="preserve">TITLE 3. GUARDIANSHIP AND RELATED PROCEDURES</w:t>
      </w:r>
    </w:p>
    <w:p w:rsidR="003F3435" w:rsidRDefault="0032493E">
      <w:pPr>
        <w:spacing w:line="480" w:lineRule="auto"/>
        <w:jc w:val="center"/>
      </w:pPr>
      <w:r>
        <w:t xml:space="preserve">SUBTITLE C. PROCEDURAL MATTERS</w:t>
      </w:r>
    </w:p>
    <w:p w:rsidR="003F3435" w:rsidRDefault="0032493E">
      <w:pPr>
        <w:spacing w:line="480" w:lineRule="auto"/>
        <w:jc w:val="center"/>
      </w:pPr>
      <w:r>
        <w:t xml:space="preserve">CHAPTER 1057. CHANGE AND RESIGNATION OF RESIDENT AGENT OF GUARDIAN FOR SERVICE OF PROCESS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1057.001.</w:t>
      </w:r>
      <w:r xml:space="preserve">
        <w:t> </w:t>
      </w:r>
      <w:r xml:space="preserve">
        <w:t> </w:t>
      </w:r>
      <w:r>
        <w:t xml:space="preserve">CHANGE OF RESIDENT AGENT.  (a)</w:t>
      </w:r>
      <w:r xml:space="preserve">
        <w:t> </w:t>
      </w:r>
      <w:r xml:space="preserve">
        <w:t> </w:t>
      </w:r>
      <w:r>
        <w:t xml:space="preserve">A guardian may change the guardian's resident agent to accept service of process in a guardianship proceeding or other matter relating to the</w:t>
      </w:r>
      <w:r xml:space="preserve">
        <w:t> </w:t>
      </w:r>
      <w:r xml:space="preserve">
        <w:t> </w:t>
      </w:r>
      <w:r>
        <w:t xml:space="preserve">guardianship by filing with the court in which the guardianship proceeding is pending a statement titled "Designation of Successor Resident Agent" that states the names and addresses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guardian;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resident agent;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successor resident agent.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designation of a successor resident agent takes effect on the date the statement is filed with the court.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823 (H.B. </w:t>
      </w:r>
      <w:hyperlink w:docLocation="table" r:id="rId14">
        <w:r>
          <w:rPr>
            <w:rStyle w:val="Hyperlink"/>
          </w:rPr>
          <w:t>2759</w:t>
        </w:r>
      </w:hyperlink>
      <w:r>
        <w:t xml:space="preserve">), Sec. 1.02, eff. January 1, 2014.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1057.002.</w:t>
      </w:r>
      <w:r xml:space="preserve">
        <w:t> </w:t>
      </w:r>
      <w:r xml:space="preserve">
        <w:t> </w:t>
      </w:r>
      <w:r>
        <w:t xml:space="preserve">RESIGNATION OF RESIDENT AGENT.  (a)</w:t>
      </w:r>
      <w:r xml:space="preserve">
        <w:t> </w:t>
      </w:r>
      <w:r xml:space="preserve">
        <w:t> </w:t>
      </w:r>
      <w:r>
        <w:t xml:space="preserve">A resident agent of a guardian may resign as resident agent by giving notice to the guardian and filing with the court in which the guardianship proceeding is pending a statement titled "Resignation of Resident Agent" that states: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name of the guardian;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guardian's address most recently known by the resident agent;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that notice of the resignation has been given to the guardian and the date that notice was given;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that the guardian does not have a resident agent.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resident agent shall send, by a qualified delivery method, a copy of a resignation statement filed under Subsection (a)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guardian at the address most recently known by the resident agent;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each party in the case or the party's attorney or other designated representative of record.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resignation of the resident agent takes effect on the date the court enters an order accepting the resignation.</w:t>
      </w:r>
      <w:r xml:space="preserve">
        <w:t> </w:t>
      </w:r>
      <w:r xml:space="preserve">
        <w:t> </w:t>
      </w:r>
      <w:r>
        <w:t xml:space="preserve">A court may not enter an order accepting the resignation unless the resident agent complies with this section.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823 (H.B. </w:t>
      </w:r>
      <w:hyperlink w:docLocation="table" r:id="rId15">
        <w:r>
          <w:rPr>
            <w:rStyle w:val="Hyperlink"/>
          </w:rPr>
          <w:t>2759</w:t>
        </w:r>
      </w:hyperlink>
      <w:r>
        <w:t xml:space="preserve">), Sec. 1.02, eff. January 1, 2014.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123 (H.B. </w:t>
      </w:r>
      <w:hyperlink w:docLocation="table" r:id="rId16">
        <w:r>
          <w:rPr>
            <w:rStyle w:val="Hyperlink"/>
          </w:rPr>
          <w:t>785</w:t>
        </w:r>
      </w:hyperlink>
      <w:r>
        <w:t xml:space="preserve">), Sec. 9, eff. September 1, 2023.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207 (S.B. </w:t>
      </w:r>
      <w:hyperlink w:docLocation="table" r:id="rId17">
        <w:r>
          <w:rPr>
            <w:rStyle w:val="Hyperlink"/>
          </w:rPr>
          <w:t>1457</w:t>
        </w:r>
      </w:hyperlink>
      <w:r>
        <w:t xml:space="preserve">), Sec. 9,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HB02759F.HTM" TargetMode="External" Id="rId14" /><Relationship Type="http://schemas.openxmlformats.org/officeDocument/2006/relationships/hyperlink" Target="http://capitol.texas.gov/tlodocs/82R/billtext/html/HB02759F.HTM" TargetMode="External" Id="rId15" /><Relationship Type="http://schemas.openxmlformats.org/officeDocument/2006/relationships/hyperlink" Target="http://capitol.texas.gov/tlodocs/88R/billtext/html/HB00785F.HTM" TargetMode="External" Id="rId16" /><Relationship Type="http://schemas.openxmlformats.org/officeDocument/2006/relationships/hyperlink" Target="http://capitol.texas.gov/tlodocs/88R/billtext/html/SB01457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