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3. GUARDIANSHIP AND RELATED PROCEDURES</w:t>
      </w:r>
    </w:p>
    <w:p w:rsidR="003F3435" w:rsidRDefault="0032493E">
      <w:pPr>
        <w:spacing w:line="480" w:lineRule="auto"/>
        <w:jc w:val="center"/>
      </w:pPr>
      <w:r>
        <w:t xml:space="preserve">SUBTITLE D. CREATION OF GUARDIANSHIP</w:t>
      </w:r>
    </w:p>
    <w:p w:rsidR="003F3435" w:rsidRDefault="0032493E">
      <w:pPr>
        <w:spacing w:line="480" w:lineRule="auto"/>
        <w:jc w:val="center"/>
      </w:pPr>
      <w:r>
        <w:t xml:space="preserve">CHAPTER 1103. PROCEDURE TO APPOINT GUARDIAN FOR CERTAIN MINORS REQUIRING GUARDIANSHIPS AS ADULTS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1103.001.</w:t>
      </w:r>
      <w:r xml:space="preserve">
        <w:t> </w:t>
      </w:r>
      <w:r xml:space="preserve">
        <w:t> </w:t>
      </w:r>
      <w:r>
        <w:t xml:space="preserve">APPLICATION FOR APPOINTMENT OF GUARDIAN.</w:t>
      </w:r>
      <w:r xml:space="preserve">
        <w:t> </w:t>
      </w:r>
      <w:r xml:space="preserve">
        <w:t> </w:t>
      </w:r>
      <w:r>
        <w:t xml:space="preserve">Not earlier than the 180th day before the proposed ward's 18th birthday, a person may file an application under Section </w:t>
      </w:r>
      <w:r>
        <w:t xml:space="preserve">1101.001</w:t>
      </w:r>
      <w:r>
        <w:t xml:space="preserve"> for the appointment of a guardian of the person or estate, or both, of a proposed ward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a minor;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because of incapacity will require a guardianship after the proposed ward is no longer a minor.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4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1103.002.</w:t>
      </w:r>
      <w:r xml:space="preserve">
        <w:t> </w:t>
      </w:r>
      <w:r xml:space="preserve">
        <w:t> </w:t>
      </w:r>
      <w:r>
        <w:t xml:space="preserve">APPOINTMENT OF CONSERVATOR AS GUARDIAN WITHOUT HEARING.  (a)</w:t>
      </w:r>
      <w:r xml:space="preserve">
        <w:t> </w:t>
      </w:r>
      <w:r xml:space="preserve">
        <w:t> </w:t>
      </w:r>
      <w:r>
        <w:t xml:space="preserve">Notwithstanding any other law, if the applicant who files an application under Section </w:t>
      </w:r>
      <w:r>
        <w:t xml:space="preserve">1101.001</w:t>
      </w:r>
      <w:r>
        <w:t xml:space="preserve"> or </w:t>
      </w:r>
      <w:r>
        <w:t xml:space="preserve">1103.001</w:t>
      </w:r>
      <w:r>
        <w:t xml:space="preserve"> is a person who was appointed conservator of a disabled child and the proceeding is a guardianship proceeding described by Section </w:t>
      </w:r>
      <w:r>
        <w:t xml:space="preserve">1002.015</w:t>
      </w:r>
      <w:r>
        <w:t xml:space="preserve">(1) in which the proposed ward is the incapacitated adult with respect to whom another court obtained continuing, exclusive jurisdiction in a suit affecting the parent-child relationship when the person was a child, the applicant may present to the court a written letter or certificate that meets the requirements of Sections </w:t>
      </w:r>
      <w:r>
        <w:t xml:space="preserve">1101.103</w:t>
      </w:r>
      <w:r>
        <w:t xml:space="preserve">(a) and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If, on receipt of the letter or certificate described by Subsection (a), the court is able to make the findings required by Section </w:t>
      </w:r>
      <w:r>
        <w:t xml:space="preserve">1101.101</w:t>
      </w:r>
      <w:r>
        <w:t xml:space="preserve">, the court, notwithstanding Subchapter </w:t>
      </w:r>
      <w:r>
        <w:t xml:space="preserve">C</w:t>
      </w:r>
      <w:r>
        <w:t xml:space="preserve">, Chapter </w:t>
      </w:r>
      <w:r>
        <w:t xml:space="preserve">1104</w:t>
      </w:r>
      <w:r>
        <w:t xml:space="preserve">,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appoint the conservator as guardian without conducting a hearing;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to the extent possible preserve the terms of possession and access to the ward that applied before the court obtained jurisdiction of the guardianship proceeding.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5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161 (S.B. </w:t>
      </w:r>
      <w:hyperlink w:docLocation="table" r:id="rId16">
        <w:r>
          <w:rPr>
            <w:rStyle w:val="Hyperlink"/>
          </w:rPr>
          <w:t>1093</w:t>
        </w:r>
      </w:hyperlink>
      <w:r>
        <w:t xml:space="preserve">), Sec. 6.037,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1103.003.</w:t>
      </w:r>
      <w:r xml:space="preserve">
        <w:t> </w:t>
      </w:r>
      <w:r xml:space="preserve">
        <w:t> </w:t>
      </w:r>
      <w:r>
        <w:t xml:space="preserve">EFFECTIVE DATE OF GUARDIANSHIP.</w:t>
      </w:r>
      <w:r xml:space="preserve">
        <w:t> </w:t>
      </w:r>
      <w:r xml:space="preserve">
        <w:t> </w:t>
      </w:r>
      <w:r>
        <w:t xml:space="preserve">If the application filed under Section </w:t>
      </w:r>
      <w:r>
        <w:t xml:space="preserve">1103.001</w:t>
      </w:r>
      <w:r>
        <w:t xml:space="preserve"> is heard before the proposed ward's 18th birthday, a guardianship created under this chapter may not take effect and the person appointed guardian may not take the oath or make the declaration as required under Section </w:t>
      </w:r>
      <w:r>
        <w:t xml:space="preserve">1105.051</w:t>
      </w:r>
      <w:r>
        <w:t xml:space="preserve"> or give a bond as required under Section </w:t>
      </w:r>
      <w:r>
        <w:t xml:space="preserve">1105.101</w:t>
      </w:r>
      <w:r>
        <w:t xml:space="preserve"> until the proposed ward's 18th birthday.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7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521 (S.B. </w:t>
      </w:r>
      <w:hyperlink w:docLocation="table" r:id="rId18">
        <w:r>
          <w:rPr>
            <w:rStyle w:val="Hyperlink"/>
          </w:rPr>
          <w:t>626</w:t>
        </w:r>
      </w:hyperlink>
      <w:r>
        <w:t xml:space="preserve">), Sec. 23,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1103.004.</w:t>
      </w:r>
      <w:r xml:space="preserve">
        <w:t> </w:t>
      </w:r>
      <w:r xml:space="preserve">
        <w:t> </w:t>
      </w:r>
      <w:r>
        <w:t xml:space="preserve">SETTLEMENT AND CLOSING OF PRIOR GUARDIANSHIP.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1202.001</w:t>
      </w:r>
      <w:r>
        <w:t xml:space="preserve">(b), the guardianship of the person of a minor who is the subject of an application for the appointment of a guardian of the person filed under Section </w:t>
      </w:r>
      <w:r>
        <w:t xml:space="preserve">1103.001</w:t>
      </w:r>
      <w:r>
        <w:t xml:space="preserve"> is settled and closed when: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court, after a hearing on the application, determines that the appointment of a guardian of the person for the proposed ward is not necessary;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guardian appointed by the court, after a hearing on the application, has qualified under Section </w:t>
      </w:r>
      <w:r>
        <w:t xml:space="preserve">1105.002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9">
        <w:r>
          <w:rPr>
            <w:rStyle w:val="Hyperlink"/>
          </w:rPr>
          <w:t>2759</w:t>
        </w:r>
      </w:hyperlink>
      <w:r>
        <w:t xml:space="preserve">), Sec. 1.02,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59F.HTM" TargetMode="External" Id="rId14" /><Relationship Type="http://schemas.openxmlformats.org/officeDocument/2006/relationships/hyperlink" Target="http://capitol.texas.gov/tlodocs/82R/billtext/html/HB02759F.HTM" TargetMode="External" Id="rId15" /><Relationship Type="http://schemas.openxmlformats.org/officeDocument/2006/relationships/hyperlink" Target="http://capitol.texas.gov/tlodocs/83R/billtext/html/SB01093F.HTM" TargetMode="External" Id="rId16" /><Relationship Type="http://schemas.openxmlformats.org/officeDocument/2006/relationships/hyperlink" Target="http://capitol.texas.gov/tlodocs/82R/billtext/html/HB02759F.HTM" TargetMode="External" Id="rId17" /><Relationship Type="http://schemas.openxmlformats.org/officeDocument/2006/relationships/hyperlink" Target="http://capitol.texas.gov/tlodocs/87R/billtext/html/SB00626F.HTM" TargetMode="External" Id="rId18" /><Relationship Type="http://schemas.openxmlformats.org/officeDocument/2006/relationships/hyperlink" Target="http://capitol.texas.gov/tlodocs/82R/billtext/html/HB02759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