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2.  ESTATES OF DECEDENTS; DURABLE POWERS OF ATTORNEY</w:t>
      </w:r>
    </w:p>
    <w:p w:rsidR="003F3435" w:rsidRDefault="0032493E">
      <w:pPr>
        <w:spacing w:line="480" w:lineRule="auto"/>
        <w:jc w:val="center"/>
      </w:pPr>
      <w:r>
        <w:t xml:space="preserve">SUBTITLE D.  PROCEEDINGS BEFORE ADMINISTRATION OF ESTATE</w:t>
      </w:r>
    </w:p>
    <w:p w:rsidR="003F3435" w:rsidRDefault="0032493E">
      <w:pPr>
        <w:spacing w:line="480" w:lineRule="auto"/>
        <w:jc w:val="center"/>
      </w:pPr>
      <w:r>
        <w:t xml:space="preserve">CHAPTER 153.  ACCESS TO INTESTATE'S ACCOUNT WITH FINANCIAL INSTITUTION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"Account" has the meaning assigned by Section </w:t>
      </w:r>
      <w:r>
        <w:t xml:space="preserve">113.001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"Financial institution" has the meaning assigned by Section </w:t>
      </w:r>
      <w:r>
        <w:t xml:space="preserve">201.101</w:t>
      </w:r>
      <w:r>
        <w:t xml:space="preserve">, Finance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"P.O.D. account" and "trust account" have the meanings assigned by Section </w:t>
      </w:r>
      <w:r>
        <w:t xml:space="preserve">113.004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217 (H.B. </w:t>
      </w:r>
      <w:hyperlink w:docLocation="table" r:id="rId14">
        <w:r>
          <w:rPr>
            <w:rStyle w:val="Hyperlink"/>
          </w:rPr>
          <w:t>705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153.002.</w:t>
      </w:r>
      <w:r xml:space="preserve">
        <w:t> </w:t>
      </w:r>
      <w:r xml:space="preserve">
        <w:t> </w:t>
      </w:r>
      <w:r>
        <w:t xml:space="preserve">INAPPLICABILITY OF CHAPTER.</w:t>
      </w:r>
      <w:r xml:space="preserve">
        <w:t> </w:t>
      </w:r>
      <w:r xml:space="preserve">
        <w:t> </w:t>
      </w:r>
      <w: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account with a beneficiary designation;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P.O.D. account;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trust account;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account that provides for a right of survivorship.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217 (H.B. </w:t>
      </w:r>
      <w:hyperlink w:docLocation="table" r:id="rId15">
        <w:r>
          <w:rPr>
            <w:rStyle w:val="Hyperlink"/>
          </w:rPr>
          <w:t>705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153.003.</w:t>
      </w:r>
      <w:r xml:space="preserve">
        <w:t> </w:t>
      </w:r>
      <w:r xml:space="preserve">
        <w:t> </w:t>
      </w:r>
      <w:r>
        <w:t xml:space="preserve">COURT-ORDERED ACCESS TO INTESTATE'S ACCOUNT INFORMATION.  (a) In this section, "interested person" means an heir, spouse, creditor, or any other having a property right in or claim against the decedent's estate.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 application of an interested person or on the court's own motion, a court may issue an order requiring a financial institution to release to the person named in the order information concerning the balance of each account that is maintained at the financial institution of a decedent who dies intestate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90 days have elapsed since the date of the decedent's death;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 petition for the appointment of a personal representative for the decedent's estate is pending;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no letters testamentary or of administration have been granted with respect to the estate. 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217 (H.B. </w:t>
      </w:r>
      <w:hyperlink w:docLocation="table" r:id="rId16">
        <w:r>
          <w:rPr>
            <w:rStyle w:val="Hyperlink"/>
          </w:rPr>
          <w:t>705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0705F.HTM" TargetMode="External" Id="rId14" /><Relationship Type="http://schemas.openxmlformats.org/officeDocument/2006/relationships/hyperlink" Target="http://capitol.texas.gov/tlodocs/84R/billtext/html/HB00705F.HTM" TargetMode="External" Id="rId15" /><Relationship Type="http://schemas.openxmlformats.org/officeDocument/2006/relationships/hyperlink" Target="http://capitol.texas.gov/tlodocs/84R/billtext/html/HB00705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