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2.  ESTATES OF DECEDENTS; DURABLE POWERS OF ATTORNEY</w:t>
      </w:r>
    </w:p>
    <w:p w:rsidR="003F3435" w:rsidRDefault="0032493E">
      <w:pPr>
        <w:spacing w:line="480" w:lineRule="auto"/>
        <w:jc w:val="center"/>
      </w:pPr>
      <w:r>
        <w:t xml:space="preserve">SUBTITLE A.  SCOPE, JURISDICTION, VENUE, AND COURTS</w:t>
      </w:r>
    </w:p>
    <w:p w:rsidR="003F3435" w:rsidRDefault="0032493E">
      <w:pPr>
        <w:spacing w:line="480" w:lineRule="auto"/>
        <w:jc w:val="center"/>
      </w:pPr>
      <w:r>
        <w:t xml:space="preserve">CHAPTER 31.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31.001.</w:t>
      </w:r>
      <w:r xml:space="preserve">
        <w:t> </w:t>
      </w:r>
      <w:r xml:space="preserve">
        <w:t> </w:t>
      </w:r>
      <w:r>
        <w:t xml:space="preserve">SCOPE OF "PROBATE PROCEEDING" FOR PURPOSES OF CODE.</w:t>
      </w:r>
      <w:r xml:space="preserve">
        <w:t> </w:t>
      </w:r>
      <w:r xml:space="preserve">
        <w:t> </w:t>
      </w:r>
      <w:r>
        <w:t xml:space="preserve">The term "probate proceeding," as used in this code,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probate of a will, with or without administration of the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issuance of letters testamentary and of administration;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heirship determination or small estate affidavit, community property administration, and homestead and family allowances;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application, petition, motion, or action regarding the probate of a will or an estate administration, including a claim for money owed by the decedent;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claim arising from an estate administration and any action brought on the claim;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settling of a personal representative's account of an estate and any other matter related to the settlement, partition, or distribution of an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will construction suit;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will modification or reformation proceeding under Subchapter </w:t>
      </w:r>
      <w:r>
        <w:t xml:space="preserve">J</w:t>
      </w:r>
      <w:r>
        <w:t xml:space="preserve">, Chapter </w:t>
      </w:r>
      <w:r>
        <w:t xml:space="preserve">255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1351 (S.B. </w:t>
      </w:r>
      <w:hyperlink w:docLocation="table" r:id="rId14">
        <w:r>
          <w:rPr>
            <w:rStyle w:val="Hyperlink"/>
          </w:rPr>
          <w:t>408</w:t>
        </w:r>
      </w:hyperlink>
      <w:r>
        <w:t xml:space="preserve">), Sec. 13(a),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1141 (H.B. </w:t>
      </w:r>
      <w:hyperlink w:docLocation="table" r:id="rId15">
        <w:r>
          <w:rPr>
            <w:rStyle w:val="Hyperlink"/>
          </w:rPr>
          <w:t>2782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31.002.</w:t>
      </w:r>
      <w:r xml:space="preserve">
        <w:t> </w:t>
      </w:r>
      <w:r xml:space="preserve">
        <w:t> </w:t>
      </w:r>
      <w:r>
        <w:t xml:space="preserve">MATTERS RELATED TO PROBATE PROCEEDING.  (a)  For purposes of this code, in a county in which there is no statutory probate court or county court at law exercising original probate jurisdiction, a matter related to a probate proceeding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action against a personal representative or former personal representative arising out of the representative's performance of the duties of a personal representative;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action against a surety of a personal representative or former personal representative;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claim brought by a personal representative on behalf of an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action brought against a personal representative in the representative's capacity as personal representative;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an action for trial of title to real property that is estate property, including the enforcement of a lien against the property;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an action for trial of the right of property that is estate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purposes of this code, in a county in which there is no statutory probate court, but in which there is a county court at law exercising original probate jurisdiction, a matter related to a probate proceeding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all matters and actions described in Subsection (a);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interpretation and administration of a testamentary trust if the will creating the trust has been admitted to probate in the court;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interpretation and administration of an inter vivos trust created by a decedent whose will has been admitted to probate in the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purposes of this code, in a county in which there is a statutory probate court, a matter related to a probate proceeding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all matters and actions described in Subsections (a) and (b);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cause of action in which a personal representative of an estate pending in the statutory probate court is a party in the representative's capacity as personal representative.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1351 (S.B. </w:t>
      </w:r>
      <w:hyperlink w:docLocation="table" r:id="rId16">
        <w:r>
          <w:rPr>
            <w:rStyle w:val="Hyperlink"/>
          </w:rPr>
          <w:t>408</w:t>
        </w:r>
      </w:hyperlink>
      <w:r>
        <w:t xml:space="preserve">), Sec. 13(a),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0408F.HTM" TargetMode="External" Id="rId14" /><Relationship Type="http://schemas.openxmlformats.org/officeDocument/2006/relationships/hyperlink" Target="http://capitol.texas.gov/tlodocs/86R/billtext/html/HB02782F.HTM" TargetMode="External" Id="rId15" /><Relationship Type="http://schemas.openxmlformats.org/officeDocument/2006/relationships/hyperlink" Target="http://capitol.texas.gov/tlodocs/81R/billtext/html/SB0040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