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2.  ESTATES OF DECEDENTS; DURABLE POWERS OF ATTORNEY</w:t>
      </w:r>
    </w:p>
    <w:p w:rsidR="003F3435" w:rsidRDefault="0032493E">
      <w:pPr>
        <w:spacing w:line="480" w:lineRule="auto"/>
        <w:jc w:val="center"/>
      </w:pPr>
      <w:r>
        <w:t xml:space="preserve">SUBTITLE B.  PROCEDURAL MATTERS</w:t>
      </w:r>
    </w:p>
    <w:p w:rsidR="003F3435" w:rsidRDefault="0032493E">
      <w:pPr>
        <w:spacing w:line="480" w:lineRule="auto"/>
        <w:jc w:val="center"/>
      </w:pPr>
      <w:r>
        <w:t xml:space="preserve">CHAPTER 54.  PLEADINGS AND EVIDENCE IN GENERAL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PLEADINGS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54.001.</w:t>
      </w:r>
      <w:r xml:space="preserve">
        <w:t> </w:t>
      </w:r>
      <w:r xml:space="preserve">
        <w:t> </w:t>
      </w:r>
      <w:r>
        <w:t xml:space="preserve">EFFECT OF FILING OR CONTESTING PLEADING.  (a)  The filing or contesting in probate court of a pleading relating to a decedent's estate does not constitute tortious interference with inheritance of the estate.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abrogate any right of a person under Rule 13, Texas Rules of Civil Procedure, or Chapter </w:t>
      </w:r>
      <w:r>
        <w:t xml:space="preserve">10</w:t>
      </w:r>
      <w:r>
        <w:t xml:space="preserve">, Civil Practice and Remedies Code.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4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54.002.</w:t>
      </w:r>
      <w:r xml:space="preserve">
        <w:t> </w:t>
      </w:r>
      <w:r xml:space="preserve">
        <w:t> </w:t>
      </w:r>
      <w:r>
        <w:t xml:space="preserve">DEFECT IN PLEADING.  A court may not invalidate a pleading in probate, or an order based on the pleading, on the basis of a defect of form or substance in the pleading unless a timely objection has been made against the defect and the defect has been called to the attention of the court in which the proceeding was or is pending.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5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EVIDENCE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54.051.</w:t>
      </w:r>
      <w:r xml:space="preserve">
        <w:t> </w:t>
      </w:r>
      <w:r xml:space="preserve">
        <w:t> </w:t>
      </w:r>
      <w:r>
        <w:t xml:space="preserve">APPLICABILITY OF CERTAIN RULES RELATING TO WITNESSES AND EVIDENCE.</w:t>
      </w:r>
      <w:r xml:space="preserve">
        <w:t> </w:t>
      </w:r>
      <w:r xml:space="preserve">
        <w:t> </w:t>
      </w:r>
      <w:r>
        <w:t xml:space="preserve">Except as provided by Section </w:t>
      </w:r>
      <w:r>
        <w:t xml:space="preserve">51.203</w:t>
      </w:r>
      <w:r>
        <w:t xml:space="preserve">, the Texas Rules of Evidence apply in a proceeding arising under this title to the extent practicable.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6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1136 (H.B. </w:t>
      </w:r>
      <w:hyperlink w:docLocation="table" r:id="rId17">
        <w:r>
          <w:rPr>
            <w:rStyle w:val="Hyperlink"/>
          </w:rPr>
          <w:t>2912</w:t>
        </w:r>
      </w:hyperlink>
      <w:r>
        <w:t xml:space="preserve">), Sec. 7,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54.052.</w:t>
      </w:r>
      <w:r xml:space="preserve">
        <w:t> </w:t>
      </w:r>
      <w:r xml:space="preserve">
        <w:t> </w:t>
      </w:r>
      <w:r>
        <w:t xml:space="preserve">USE OF CERTAIN RECORDS AS EVIDENCE.  The following are admissible as evidence in any court of this state: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record books described by Sections </w:t>
      </w:r>
      <w:r>
        <w:t xml:space="preserve">52.001</w:t>
      </w:r>
      <w:r>
        <w:t xml:space="preserve">, </w:t>
      </w:r>
      <w:r>
        <w:t xml:space="preserve">52.002</w:t>
      </w:r>
      <w:r>
        <w:t xml:space="preserve">, and </w:t>
      </w:r>
      <w:r>
        <w:t xml:space="preserve">52.003</w:t>
      </w:r>
      <w:r>
        <w:t xml:space="preserve"> and individual case files described by Section </w:t>
      </w:r>
      <w:r>
        <w:t xml:space="preserve">52.052</w:t>
      </w:r>
      <w:r>
        <w:t xml:space="preserve">, including records maintained in a manner allowed under Section </w:t>
      </w:r>
      <w:r>
        <w:t xml:space="preserve">52.004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certified copies or reproductions of the records.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8">
        <w:r>
          <w:rPr>
            <w:rStyle w:val="Hyperlink"/>
          </w:rPr>
          <w:t>680</w:t>
        </w:r>
      </w:hyperlink>
      <w:r>
        <w:t xml:space="preserve">, Sec. 1,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502F.HTM" TargetMode="External" Id="rId14" /><Relationship Type="http://schemas.openxmlformats.org/officeDocument/2006/relationships/hyperlink" Target="http://capitol.texas.gov/tlodocs/81R/billtext/html/HB02502F.HTM" TargetMode="External" Id="rId15" /><Relationship Type="http://schemas.openxmlformats.org/officeDocument/2006/relationships/hyperlink" Target="http://capitol.texas.gov/tlodocs/81R/billtext/html/HB02502F.HTM" TargetMode="External" Id="rId16" /><Relationship Type="http://schemas.openxmlformats.org/officeDocument/2006/relationships/hyperlink" Target="http://capitol.texas.gov/tlodocs/83R/billtext/html/HB02912F.HTM" TargetMode="External" Id="rId17" /><Relationship Type="http://schemas.openxmlformats.org/officeDocument/2006/relationships/hyperlink" Target="http://capitol.texas.gov/tlodocs/81R/billtext/html/HB02502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