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FINANCE CODE</w:t>
      </w:r>
    </w:p>
    <w:p w:rsidR="003F3435" w:rsidRDefault="0032493E">
      <w:pPr>
        <w:spacing w:line="480" w:lineRule="auto"/>
        <w:jc w:val="center"/>
      </w:pPr>
      <w:r>
        <w:t xml:space="preserve">TITLE 4. REGULATION OF INTEREST, LOANS, AND FINANCED TRANSACTIONS</w:t>
      </w:r>
    </w:p>
    <w:p w:rsidR="003F3435" w:rsidRDefault="0032493E">
      <w:pPr>
        <w:spacing w:line="480" w:lineRule="auto"/>
        <w:jc w:val="center"/>
      </w:pPr>
      <w:r>
        <w:t xml:space="preserve">SUBTITLE B. LOANS AND FINANCED TRANSACTIONS</w:t>
      </w:r>
    </w:p>
    <w:p w:rsidR="003F3435" w:rsidRDefault="0032493E">
      <w:pPr>
        <w:spacing w:line="480" w:lineRule="auto"/>
        <w:jc w:val="center"/>
      </w:pPr>
      <w:r>
        <w:t xml:space="preserve">CHAPTER 350.  REQUIREMENTS AND LIMITATIONS APPLICABLE TO CONSUMER CREDITORS NOT LICENSED OR REGISTERED UNDER THIS TITLE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350.001.</w:t>
      </w:r>
      <w:r xml:space="preserve">
        <w:t> </w:t>
      </w:r>
      <w:r xml:space="preserve">
        <w:t> </w:t>
      </w:r>
      <w:r>
        <w:t xml:space="preserve">APPLICABILITY.  (a)  This chapter applies to a person who extends credit primarily for personal, family, or household use and not for a business, commercial, investment, or agricultural purpose.</w:t>
      </w:r>
      <w:r xml:space="preserve">
        <w:t> </w:t>
      </w:r>
      <w:r xml:space="preserve">
        <w:t> </w:t>
      </w:r>
      <w:r>
        <w:t xml:space="preserve">For the purposes of this chapter, credit means the right granted to a debtor to defer payment of debt or to incur debt and defer its payment.</w:t>
      </w:r>
      <w:r xml:space="preserve">
        <w:t> </w:t>
      </w:r>
      <w:r xml:space="preserve">
        <w:t> </w:t>
      </w:r>
      <w:r>
        <w:t xml:space="preserve">A creditor is subject to this chapter if the creditor charges a finance charge or extends credit payable in one or more installments.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chapter does not apply to a person who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licensed or registered under this title or Title 3;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exempt from licensing or registration under this title.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1018 (H.B. </w:t>
      </w:r>
      <w:hyperlink w:docLocation="table" r:id="rId14">
        <w:r>
          <w:rPr>
            <w:rStyle w:val="Hyperlink"/>
          </w:rPr>
          <w:t>955</w:t>
        </w:r>
      </w:hyperlink>
      <w:r>
        <w:t xml:space="preserve">), Sec. 1.04,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350.002.</w:t>
      </w:r>
      <w:r xml:space="preserve">
        <w:t> </w:t>
      </w:r>
      <w:r xml:space="preserve">
        <w:t> </w:t>
      </w:r>
      <w:r>
        <w:t xml:space="preserve">PREVENTION OF EVASION.  A</w:t>
      </w:r>
      <w:r xml:space="preserve">
        <w:t> </w:t>
      </w:r>
      <w:r xml:space="preserve">
        <w:t> </w:t>
      </w:r>
      <w:r>
        <w:t xml:space="preserve">person may not use any device, subterfuge, or pretense to evade the application of this section.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1018 (H.B. </w:t>
      </w:r>
      <w:hyperlink w:docLocation="table" r:id="rId15">
        <w:r>
          <w:rPr>
            <w:rStyle w:val="Hyperlink"/>
          </w:rPr>
          <w:t>955</w:t>
        </w:r>
      </w:hyperlink>
      <w:r>
        <w:t xml:space="preserve">), Sec. 1.04,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350.003.</w:t>
      </w:r>
      <w:r xml:space="preserve">
        <w:t> </w:t>
      </w:r>
      <w:r xml:space="preserve">
        <w:t> </w:t>
      </w:r>
      <w:r>
        <w:t xml:space="preserve">COMPLIANCE WITH FAIR TRADE PRACTICES ACT.  A creditor who is not licensed, registered, or otherwise exempt under this title must comply with the requirements of 15 U.S.C. Section 45.</w:t>
      </w:r>
      <w:r xml:space="preserve">
        <w:t> </w:t>
      </w:r>
      <w:r xml:space="preserve">
        <w:t> </w:t>
      </w:r>
      <w:r>
        <w:t xml:space="preserve">An enforcement action to compel compliance under this section may include an action to enjoin illegal activities or order restitution.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1018 (H.B. </w:t>
      </w:r>
      <w:hyperlink w:docLocation="table" r:id="rId16">
        <w:r>
          <w:rPr>
            <w:rStyle w:val="Hyperlink"/>
          </w:rPr>
          <w:t>955</w:t>
        </w:r>
      </w:hyperlink>
      <w:r>
        <w:t xml:space="preserve">), Sec. 1.04,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350.004.</w:t>
      </w:r>
      <w:r xml:space="preserve">
        <w:t> </w:t>
      </w:r>
      <w:r xml:space="preserve">
        <w:t> </w:t>
      </w:r>
      <w:r>
        <w:t xml:space="preserve">PENALTIES.  Chapter </w:t>
      </w:r>
      <w:r>
        <w:t xml:space="preserve">349</w:t>
      </w:r>
      <w:r>
        <w:t xml:space="preserve"> applies to violations of this chapter and the rules adopted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1018 (H.B. </w:t>
      </w:r>
      <w:hyperlink w:docLocation="table" r:id="rId17">
        <w:r>
          <w:rPr>
            <w:rStyle w:val="Hyperlink"/>
          </w:rPr>
          <w:t>955</w:t>
        </w:r>
      </w:hyperlink>
      <w:r>
        <w:t xml:space="preserve">), Sec. 1.04, eff. September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0955F.HTM" TargetMode="External" Id="rId14" /><Relationship Type="http://schemas.openxmlformats.org/officeDocument/2006/relationships/hyperlink" Target="http://capitol.texas.gov/tlodocs/79R/billtext/html/HB00955F.HTM" TargetMode="External" Id="rId15" /><Relationship Type="http://schemas.openxmlformats.org/officeDocument/2006/relationships/hyperlink" Target="http://capitol.texas.gov/tlodocs/79R/billtext/html/HB00955F.HTM" TargetMode="External" Id="rId16" /><Relationship Type="http://schemas.openxmlformats.org/officeDocument/2006/relationships/hyperlink" Target="http://capitol.texas.gov/tlodocs/79R/billtext/html/HB00955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