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C. STATE ACCOUNTING, FISCAL MANAGEMENT, AND PRODUCTIVITY</w:t>
      </w:r>
    </w:p>
    <w:p w:rsidR="003F3435" w:rsidRDefault="0032493E">
      <w:pPr>
        <w:spacing w:line="480" w:lineRule="auto"/>
        <w:jc w:val="center"/>
      </w:pPr>
      <w:r>
        <w:t xml:space="preserve">CHAPTER 2111. STATE AGENCY REPORTING OF TECHNOLOGICAL INNOVATIONS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2111.001.</w:t>
      </w:r>
      <w:r xml:space="preserve">
        <w:t> </w:t>
      </w:r>
      <w:r xml:space="preserve">
        <w:t> </w:t>
      </w:r>
      <w:r>
        <w:t xml:space="preserve">DEFINITION.  In this chapter, "state agency":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means an office, institution, or other agency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in the executive branch of state government;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authority that is not limited to a geographic portion of the state;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was created by the constitution or a statute of this state;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include an institution of higher education as defined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16.02(a),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2111.002.</w:t>
      </w:r>
      <w:r xml:space="preserve">
        <w:t> </w:t>
      </w:r>
      <w:r xml:space="preserve">
        <w:t> </w:t>
      </w:r>
      <w:r>
        <w:t xml:space="preserve">REPORTING.  Each state agency shall report to the lieutenant governor and the speaker of the house of representatives any technological innovation developed by the agency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potential commercial application, is proprietary, or could be protected under intellectual property laws;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was developed: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during the preceding calendar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before the preceding calendar year but was not previously reported to the lieutenant governor and the speaker of the house of representatives.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16.02(a),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977 (H.B. </w:t>
      </w:r>
      <w:hyperlink w:docLocation="table" r:id="rId14">
        <w:r>
          <w:rPr>
            <w:rStyle w:val="Hyperlink"/>
          </w:rPr>
          <w:t>1820</w:t>
        </w:r>
      </w:hyperlink>
      <w:r>
        <w:t xml:space="preserve">), Sec. 1, eff. June 18,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1820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