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10. GENERAL GOVERNMENT</w:t>
      </w:r>
    </w:p>
    <w:p w:rsidR="003F3435" w:rsidRDefault="0032493E">
      <w:pPr>
        <w:spacing w:line="480" w:lineRule="auto"/>
        <w:jc w:val="center"/>
      </w:pPr>
      <w:r>
        <w:t xml:space="preserve">SUBTITLE G. ECONOMIC DEVELOPMENT PROGRAMS INVOLVING BOTH STATE AND LOCAL GOVERNMENTS</w:t>
      </w:r>
    </w:p>
    <w:p w:rsidR="003F3435" w:rsidRDefault="0032493E">
      <w:pPr>
        <w:spacing w:line="480" w:lineRule="auto"/>
        <w:jc w:val="center"/>
      </w:pPr>
      <w:r>
        <w:t xml:space="preserve">CHAPTER 2311.  ENERGY SECURITY TECHNOLOGIES FOR CRITICAL GOVERNMENTAL FACILITIES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2311.001.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"Combined heating and power system" means a system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located on the site of a facility;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the primary source of both electricity and thermal energy for the facility;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can provide all of the electricity needed to power the facility's critical emergency operations for at least 14 days;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has an overall efficiency of energy use that exceeds 60 percent.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"Critical governmental facility" means a building owned by the state, including by an institution of higher education, as defined by Section </w:t>
      </w:r>
      <w:r>
        <w:t xml:space="preserve">61.003</w:t>
      </w:r>
      <w:r>
        <w:t xml:space="preserve">, Education Code, or a political subdivision of the state that is expected to: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be continuously occupied;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maintain operations for at least 6,000 hours each year;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have a peak electricity demand exceeding 500 kilowatts;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serve a critical public health or public safety function during a natural disaster or other emergency situation that may result in a widespread power outage, including a: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command and control center;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shelter;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(iii)</w:t>
      </w:r>
      <w:r xml:space="preserve">
        <w:t> </w:t>
      </w:r>
      <w:r xml:space="preserve">
        <w:t> </w:t>
      </w:r>
      <w:r>
        <w:t xml:space="preserve">prison or jail;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(iv)</w:t>
      </w:r>
      <w:r xml:space="preserve">
        <w:t> </w:t>
      </w:r>
      <w:r xml:space="preserve">
        <w:t> </w:t>
      </w:r>
      <w:r>
        <w:t xml:space="preserve">police or fire station;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(v)</w:t>
      </w:r>
      <w:r xml:space="preserve">
        <w:t> </w:t>
      </w:r>
      <w:r xml:space="preserve">
        <w:t> </w:t>
      </w:r>
      <w:r>
        <w:t xml:space="preserve">communications or data center;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(vi)</w:t>
      </w:r>
      <w:r xml:space="preserve">
        <w:t> </w:t>
      </w:r>
      <w:r xml:space="preserve">
        <w:t> </w:t>
      </w:r>
      <w:r>
        <w:t xml:space="preserve">water or wastewater facility;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(vii)</w:t>
      </w:r>
      <w:r xml:space="preserve">
        <w:t> </w:t>
      </w:r>
      <w:r xml:space="preserve">
        <w:t> </w:t>
      </w:r>
      <w:r>
        <w:t xml:space="preserve">hazardous waste storage facility;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(viii)</w:t>
      </w:r>
      <w:r xml:space="preserve">
        <w:t> </w:t>
      </w:r>
      <w:r xml:space="preserve">
        <w:t> </w:t>
      </w:r>
      <w:r>
        <w:t xml:space="preserve">biological research facility;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(ix)</w:t>
      </w:r>
      <w:r xml:space="preserve">
        <w:t> </w:t>
      </w:r>
      <w:r xml:space="preserve">
        <w:t> </w:t>
      </w:r>
      <w:r>
        <w:t xml:space="preserve">hospital;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(x)</w:t>
      </w:r>
      <w:r xml:space="preserve">
        <w:t> </w:t>
      </w:r>
      <w:r xml:space="preserve">
        <w:t> </w:t>
      </w:r>
      <w:r>
        <w:t xml:space="preserve">food preparation or food storage facility.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1280 (H.B. </w:t>
      </w:r>
      <w:hyperlink w:docLocation="table" r:id="rId14">
        <w:r>
          <w:rPr>
            <w:rStyle w:val="Hyperlink"/>
          </w:rPr>
          <w:t>1831</w:t>
        </w:r>
      </w:hyperlink>
      <w:r>
        <w:t xml:space="preserve">), Sec. 2.01, eff. September 1, 2009.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1133 (H.B. </w:t>
      </w:r>
      <w:hyperlink w:docLocation="table" r:id="rId15">
        <w:r>
          <w:rPr>
            <w:rStyle w:val="Hyperlink"/>
          </w:rPr>
          <w:t>1864</w:t>
        </w:r>
      </w:hyperlink>
      <w:r>
        <w:t xml:space="preserve">), Sec. 1,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2311.002.</w:t>
      </w:r>
      <w:r xml:space="preserve">
        <w:t> </w:t>
      </w:r>
      <w:r xml:space="preserve">
        <w:t> </w:t>
      </w:r>
      <w:r>
        <w:t xml:space="preserve">COMBINED HEATING AND POWER SYSTEMS.  (a)</w:t>
      </w:r>
      <w:r xml:space="preserve">
        <w:t> </w:t>
      </w:r>
      <w:r xml:space="preserve">
        <w:t> </w:t>
      </w:r>
      <w:r>
        <w:t xml:space="preserve">When constructing or extensively renovating a critical governmental facility or replacing major heating, ventilation, and air-conditioning equipment for a critical governmental facility, the entity with charge and control of the facility shall evaluate whether equipping the facility with a combined heating and power system would result in expected energy savings that would exceed the expected costs of purchasing, operating, and maintaining the system over a 20-year period.</w:t>
      </w:r>
      <w:r xml:space="preserve">
        <w:t> </w:t>
      </w:r>
      <w:r xml:space="preserve">
        <w:t> </w:t>
      </w:r>
      <w:r>
        <w:t xml:space="preserve">Notwithstanding Chapter </w:t>
      </w:r>
      <w:r>
        <w:t xml:space="preserve">2302</w:t>
      </w:r>
      <w:r>
        <w:t xml:space="preserve">, the entity may equip the facility with a combined heating and power system if the expected energy savings exceed the expected costs.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State Energy Conservation Office shall establish guidelines for the evaluation under Subsection (a).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1280 (H.B. </w:t>
      </w:r>
      <w:hyperlink w:docLocation="table" r:id="rId16">
        <w:r>
          <w:rPr>
            <w:rStyle w:val="Hyperlink"/>
          </w:rPr>
          <w:t>1831</w:t>
        </w:r>
      </w:hyperlink>
      <w:r>
        <w:t xml:space="preserve">), Sec. 2.01, eff. September 1, 2009.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1133 (H.B. </w:t>
      </w:r>
      <w:hyperlink w:docLocation="table" r:id="rId17">
        <w:r>
          <w:rPr>
            <w:rStyle w:val="Hyperlink"/>
          </w:rPr>
          <w:t>1864</w:t>
        </w:r>
      </w:hyperlink>
      <w:r>
        <w:t xml:space="preserve">), Sec. 1, eff. September 1,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HB01831F.HTM" TargetMode="External" Id="rId14" /><Relationship Type="http://schemas.openxmlformats.org/officeDocument/2006/relationships/hyperlink" Target="http://capitol.texas.gov/tlodocs/83R/billtext/html/HB01864F.HTM" TargetMode="External" Id="rId15" /><Relationship Type="http://schemas.openxmlformats.org/officeDocument/2006/relationships/hyperlink" Target="http://capitol.texas.gov/tlodocs/81R/billtext/html/HB01831F.HTM" TargetMode="External" Id="rId16" /><Relationship Type="http://schemas.openxmlformats.org/officeDocument/2006/relationships/hyperlink" Target="http://capitol.texas.gov/tlodocs/83R/billtext/html/HB01864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