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HUMAN RESOURCES CODE</w:t>
      </w:r>
    </w:p>
    <w:p w:rsidR="003F3435" w:rsidRDefault="0032493E">
      <w:pPr>
        <w:spacing w:line="480" w:lineRule="auto"/>
        <w:jc w:val="center"/>
      </w:pPr>
      <w:r>
        <w:t xml:space="preserve">TITLE 2. HUMAN SERVICES AND PROTECTIVE SERVICES IN GENERAL</w:t>
      </w:r>
    </w:p>
    <w:p w:rsidR="003F3435" w:rsidRDefault="0032493E">
      <w:pPr>
        <w:spacing w:line="480" w:lineRule="auto"/>
        <w:jc w:val="center"/>
      </w:pPr>
      <w:r>
        <w:t xml:space="preserve">SUBTITLE E. SERVICES FOR FAMILIES</w:t>
      </w:r>
    </w:p>
    <w:p w:rsidR="003F3435" w:rsidRDefault="0032493E">
      <w:pPr>
        <w:spacing w:line="480" w:lineRule="auto"/>
        <w:jc w:val="center"/>
      </w:pPr>
      <w:r>
        <w:t xml:space="preserve">CHAPTER 51A.  NOTICE TO VICTIMS OF FAMILY VIOLENCE, STALKING, HARASSMENT, OR TERRORISTIC THREAT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51A.001.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"Family" has the meaning assigned by Section </w:t>
      </w:r>
      <w:r>
        <w:t xml:space="preserve">71.003</w:t>
      </w:r>
      <w:r>
        <w:t xml:space="preserve">, Family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"Family violence" has the meaning assigned by Section </w:t>
      </w:r>
      <w:r>
        <w:t xml:space="preserve">71.004</w:t>
      </w:r>
      <w:r>
        <w:t xml:space="preserve">, Family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"Harassment" means any conduct that constitutes an offense under Section </w:t>
      </w:r>
      <w:r>
        <w:t xml:space="preserve">42.07</w:t>
      </w:r>
      <w:r>
        <w:t xml:space="preserve">, Penal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"Household" has the meaning assigned by Section </w:t>
      </w:r>
      <w:r>
        <w:t xml:space="preserve">71.005</w:t>
      </w:r>
      <w:r>
        <w:t xml:space="preserve">, Family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(5)</w:t>
      </w:r>
      <w:r xml:space="preserve">
        <w:t> </w:t>
      </w:r>
      <w:r xml:space="preserve">
        <w:t> </w:t>
      </w:r>
      <w:r>
        <w:t xml:space="preserve">"Member of a household" has the meaning assigned by Section </w:t>
      </w:r>
      <w:r>
        <w:t xml:space="preserve">71.006</w:t>
      </w:r>
      <w:r>
        <w:t xml:space="preserve">, Family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(6)</w:t>
      </w:r>
      <w:r xml:space="preserve">
        <w:t> </w:t>
      </w:r>
      <w:r xml:space="preserve">
        <w:t> </w:t>
      </w:r>
      <w:r>
        <w:t xml:space="preserve">"Stalking" means any conduct that constitutes an offense under Section </w:t>
      </w:r>
      <w:r>
        <w:t xml:space="preserve">42.072</w:t>
      </w:r>
      <w:r>
        <w:t xml:space="preserve">, Penal Code.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(7)</w:t>
      </w:r>
      <w:r xml:space="preserve">
        <w:t> </w:t>
      </w:r>
      <w:r xml:space="preserve">
        <w:t> </w:t>
      </w:r>
      <w:r>
        <w:t xml:space="preserve">"Terroristic threat" means any conduct that constitutes an offense under Section </w:t>
      </w:r>
      <w:r>
        <w:t xml:space="preserve">22.07</w:t>
      </w:r>
      <w:r>
        <w:t xml:space="preserve">, Penal Code.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24 (S.B. </w:t>
      </w:r>
      <w:hyperlink w:docLocation="table" r:id="rId14">
        <w:r>
          <w:rPr>
            <w:rStyle w:val="Hyperlink"/>
          </w:rPr>
          <w:t>1325</w:t>
        </w:r>
      </w:hyperlink>
      <w:r>
        <w:t xml:space="preserve">), Sec. 2, eff. May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51A.002.</w:t>
      </w:r>
      <w:r xml:space="preserve">
        <w:t> </w:t>
      </w:r>
      <w:r xml:space="preserve">
        <w:t> </w:t>
      </w:r>
      <w:r>
        <w:t xml:space="preserve">APPLICABILITY TO VICTIMS OF CERTAIN OFFENSES.</w:t>
      </w:r>
      <w:r xml:space="preserve">
        <w:t> </w:t>
      </w:r>
      <w:r xml:space="preserve">
        <w:t> </w:t>
      </w:r>
      <w:r>
        <w:t xml:space="preserve">This chapter applies to a victim of family violence, stalking, harassment, or terroristic threat, including: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an adult member of a family or household who is subjected to an act of family violence;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member of the household of the adult described by Subdivision (1), other than the member of the household who commits the act of family violence;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a person who is subjected to conduct constituting stalking, harassment, or terroristic threat.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24 (S.B. </w:t>
      </w:r>
      <w:hyperlink w:docLocation="table" r:id="rId15">
        <w:r>
          <w:rPr>
            <w:rStyle w:val="Hyperlink"/>
          </w:rPr>
          <w:t>1325</w:t>
        </w:r>
      </w:hyperlink>
      <w:r>
        <w:t xml:space="preserve">), Sec. 2, eff. May 13, 2023.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51A.003.</w:t>
      </w:r>
      <w:r xml:space="preserve">
        <w:t> </w:t>
      </w:r>
      <w:r xml:space="preserve">
        <w:t> </w:t>
      </w:r>
      <w:r>
        <w:t xml:space="preserve">NOTICE TO VICTIMS.  (a)</w:t>
      </w:r>
      <w:r xml:space="preserve">
        <w:t> </w:t>
      </w:r>
      <w:r xml:space="preserve">
        <w:t> </w:t>
      </w:r>
      <w:r>
        <w:t xml:space="preserve">The commission by rule shall adopt a written notice to be provided to victims of family violence, stalking, harassment, or terroristic threat to assist those victims in obtaining services.</w:t>
      </w:r>
      <w:r xml:space="preserve">
        <w:t> </w:t>
      </w:r>
      <w:r xml:space="preserve">
        <w:t> </w:t>
      </w:r>
      <w:r>
        <w:t xml:space="preserve">The commission shall use best practices in creating the written notice.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notice adopted under this section must include the following in both English and Spanish: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a statement that it is a criminal offense for any person, including a member of the family or former member of the family, to cause physical injury or harm to a victim or to engage in conduct constituting stalking, harassment, or terroristic threat toward a victim;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a list of agencies and social organizations that the victim may contact for assistance with safety planning, shelter, or protection;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contact information for: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National Domestic Violence Hotline;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victim support services at the Department of Public Safety;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commission's family violence program; and</w:t>
      </w:r>
    </w:p>
    <w:p w:rsidR="003F3435" w:rsidRDefault="0032493E">
      <w:pPr>
        <w:spacing w:line="480" w:lineRule="auto"/>
        <w:ind w:firstLine="1440"/>
        <w:jc w:val="both"/>
      </w:pPr>
      <w:r>
        <w:t xml:space="preserve">(4)</w:t>
      </w:r>
      <w:r xml:space="preserve">
        <w:t> </w:t>
      </w:r>
      <w:r xml:space="preserve">
        <w:t> </w:t>
      </w:r>
      <w:r>
        <w:t xml:space="preserve">information regarding the legal rights of a victim, including information regarding:</w:t>
      </w:r>
    </w:p>
    <w:p w:rsidR="003F3435" w:rsidRDefault="0032493E">
      <w:pPr>
        <w:spacing w:line="480" w:lineRule="auto"/>
        <w:ind w:firstLine="2160"/>
        <w:jc w:val="both"/>
      </w:pPr>
      <w:r>
        <w:t xml:space="preserve">(A)</w:t>
      </w:r>
      <w:r xml:space="preserve">
        <w:t> </w:t>
      </w:r>
      <w:r xml:space="preserve">
        <w:t> </w:t>
      </w:r>
      <w:r>
        <w:t xml:space="preserve">the filing of criminal charges and obtaining a protective order or a magistrate's order for emergency protection;</w:t>
      </w:r>
    </w:p>
    <w:p w:rsidR="003F3435" w:rsidRDefault="0032493E">
      <w:pPr>
        <w:spacing w:line="480" w:lineRule="auto"/>
        <w:ind w:firstLine="216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ability of a tenant who is a victim of family violence to vacate a dwelling and terminate a residential lease; and</w:t>
      </w:r>
    </w:p>
    <w:p w:rsidR="003F3435" w:rsidRDefault="0032493E">
      <w:pPr>
        <w:spacing w:line="480" w:lineRule="auto"/>
        <w:ind w:firstLine="216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ability of the victim to provide information to the local prosecutor that will be helpful to a magistrate setting bail if the person committing the offense is arrested.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notice adopted under this section may include any other information the commission considers useful to a victim of family violence, stalking, harassment, or terroristic threat.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(d)</w:t>
      </w:r>
      <w:r xml:space="preserve">
        <w:t> </w:t>
      </w:r>
      <w:r xml:space="preserve">
        <w:t> </w:t>
      </w:r>
      <w:r>
        <w:t xml:space="preserve">The commission shall periodically update the notice required under this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(e)</w:t>
      </w:r>
      <w:r xml:space="preserve">
        <w:t> </w:t>
      </w:r>
      <w:r xml:space="preserve">
        <w:t> </w:t>
      </w:r>
      <w:r>
        <w:t xml:space="preserve">The commission shall make the notice adopted under this section available on the commission's Internet website in both English and Spanish.</w:t>
      </w:r>
    </w:p>
    <w:p w:rsidR="003F3435" w:rsidRDefault="0032493E">
      <w:pPr>
        <w:spacing w:line="480" w:lineRule="auto"/>
        <w:jc w:val="both"/>
      </w:pPr>
      <w:r>
        <w:t xml:space="preserve">Added by Acts 2023, 88th Leg., R.S., Ch. 24 (S.B. </w:t>
      </w:r>
      <w:hyperlink w:docLocation="table" r:id="rId16">
        <w:r>
          <w:rPr>
            <w:rStyle w:val="Hyperlink"/>
          </w:rPr>
          <w:t>1325</w:t>
        </w:r>
      </w:hyperlink>
      <w:r>
        <w:t xml:space="preserve">), Sec. 2, eff. May 13, 2023.</w:t>
      </w:r>
    </w:p>
    <w:p w:rsidR="003F3435" w:rsidRDefault="0032493E">
      <w:pPr>
        <w:spacing w:line="480" w:lineRule="auto"/>
        <w:jc w:val="both"/>
      </w:pPr>
      <w:r>
        <w:t xml:space="preserve">Amended by: </w:t>
      </w:r>
    </w:p>
    <w:p w:rsidR="003F3435" w:rsidRDefault="0032493E">
      <w:pPr>
        <w:spacing w:line="480" w:lineRule="auto"/>
        <w:ind w:firstLine="720"/>
        <w:jc w:val="both"/>
      </w:pPr>
      <w:r>
        <w:t xml:space="preserve">Acts 2025, 89th Leg., R.S., Ch. 339 (S.B. </w:t>
      </w:r>
      <w:hyperlink w:docLocation="table" r:id="rId17">
        <w:r>
          <w:rPr>
            <w:rStyle w:val="Hyperlink"/>
          </w:rPr>
          <w:t>9</w:t>
        </w:r>
      </w:hyperlink>
      <w:r>
        <w:t xml:space="preserve">), Sec. 18, eff.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8R/billtext/html/SB01325F.HTM" TargetMode="External" Id="rId14" /><Relationship Type="http://schemas.openxmlformats.org/officeDocument/2006/relationships/hyperlink" Target="http://capitol.texas.gov/tlodocs/88R/billtext/html/SB01325F.HTM" TargetMode="External" Id="rId15" /><Relationship Type="http://schemas.openxmlformats.org/officeDocument/2006/relationships/hyperlink" Target="http://capitol.texas.gov/tlodocs/88R/billtext/html/SB01325F.HTM" TargetMode="External" Id="rId16" /><Relationship Type="http://schemas.openxmlformats.org/officeDocument/2006/relationships/hyperlink" Target="http://capitol.texas.gov/tlodocs/89R/billtext/html/SB00009F.HTM" TargetMode="External" Id="rId1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