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Chapter </w:t>
      </w:r>
      <w:r>
        <w:t xml:space="preserve">323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understandable,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INTERNAL REFERENCES.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reference to a title, chapter, or section without further identification is a reference to a title, chapter, or section of this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reference to a subtitle, subchapter, subsection, subdivision, paragraph, or other numbered or lettered unit without further identification is a reference to a unit of the next larger unit of this code in which the reference appears.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1.004.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the statute.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1.005.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"Artificial swimming lagoon" means an artificial body of water used for recreational purposes with more than 20,000 square feet of surface area, an artificial liner, and a method of disinfectant. The term does not include a body of water open to the public that continuously recirculates water from a spring or a pool.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"Licensed practitioner" includes a sex offender treatment provider who is licensed under Chapter </w:t>
      </w:r>
      <w:r>
        <w:t xml:space="preserve">110</w:t>
      </w:r>
      <w:r>
        <w:t xml:space="preserve">, Occupations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"Public swimming pool" means an artificial body of water, including a spa, maintained expressly for public recreational purposes, swimming and similar aquatic sports, or therapeutic purposes.</w:t>
      </w:r>
      <w:r xml:space="preserve">
        <w:t> </w:t>
      </w:r>
      <w:r xml:space="preserve">
        <w:t> </w:t>
      </w:r>
      <w:r>
        <w:t xml:space="preserve">The term does not include an artificial swimming lagoon or a body of water open to the public that continuously recirculates water from a spring.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1089 (H.B. </w:t>
      </w:r>
      <w:hyperlink w:docLocation="table" r:id="rId14">
        <w:r>
          <w:rPr>
            <w:rStyle w:val="Hyperlink"/>
          </w:rPr>
          <w:t>2036</w:t>
        </w:r>
      </w:hyperlink>
      <w:r>
        <w:t xml:space="preserve">), Sec. 1, eff. September 1, 2005.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821 (H.B. </w:t>
      </w:r>
      <w:hyperlink w:docLocation="table" r:id="rId15">
        <w:r>
          <w:rPr>
            <w:rStyle w:val="Hyperlink"/>
          </w:rPr>
          <w:t>1468</w:t>
        </w:r>
      </w:hyperlink>
      <w:r>
        <w:t xml:space="preserve">), Sec. 1, eff. June 15,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1.006.</w:t>
      </w:r>
      <w:r xml:space="preserve">
        <w:t> </w:t>
      </w:r>
      <w:r xml:space="preserve">
        <w:t> </w:t>
      </w:r>
      <w:r>
        <w:t xml:space="preserve">REPORTS.</w:t>
      </w:r>
      <w:r xml:space="preserve">
        <w:t> </w:t>
      </w:r>
      <w:r xml:space="preserve">
        <w:t> </w:t>
      </w:r>
      <w:r>
        <w:t xml:space="preserve">Notwithstanding any other law, each report that is required by this code to be submitted to the governor or a member of the legislature must be submitted not later than December 1 of the year that the report is due.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664 (H.B. </w:t>
      </w:r>
      <w:hyperlink w:docLocation="table" r:id="rId16">
        <w:r>
          <w:rPr>
            <w:rStyle w:val="Hyperlink"/>
          </w:rPr>
          <w:t>4666</w:t>
        </w:r>
      </w:hyperlink>
      <w:r>
        <w:t xml:space="preserve">), Sec. 11, eff. June 20,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36F.HTM" TargetMode="External" Id="rId14" /><Relationship Type="http://schemas.openxmlformats.org/officeDocument/2006/relationships/hyperlink" Target="http://capitol.texas.gov/tlodocs/85R/billtext/html/HB01468F.HTM" TargetMode="External" Id="rId15" /><Relationship Type="http://schemas.openxmlformats.org/officeDocument/2006/relationships/hyperlink" Target="http://capitol.texas.gov/tlodocs/89R/billtext/html/HB0466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