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A.  DEPARTMENT OF STATE HEALTH SERVICES</w:t>
      </w:r>
    </w:p>
    <w:p w:rsidR="003F3435" w:rsidRDefault="0032493E">
      <w:pPr>
        <w:spacing w:line="480" w:lineRule="auto"/>
        <w:jc w:val="center"/>
      </w:pPr>
      <w:r>
        <w:t xml:space="preserve">CHAPTER 11.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title: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"Commissioner" means the commissioner of state health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"Department" means the Department of State Health Services.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"Executive commissioner" means the executive commissioner of the Health and Human Services Commission.</w:t>
      </w:r>
    </w:p>
    <w:p w:rsidR="003F3435" w:rsidRDefault="0032493E">
      <w:pPr>
        <w:spacing w:line="480" w:lineRule="auto"/>
        <w:jc w:val="both"/>
      </w:pPr>
      <w:r>
        <w:t xml:space="preserve">Acts 1989, 71st Leg., ch. 678, Sec. 1, eff. Sept. 1, 1989.  Amended by Acts 1993, 73rd Leg., ch. 747, Sec. 15, eff. Sept. 1, 1993.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4">
        <w:r>
          <w:rPr>
            <w:rStyle w:val="Hyperlink"/>
          </w:rPr>
          <w:t>219</w:t>
        </w:r>
      </w:hyperlink>
      <w:r>
        <w:t xml:space="preserve">), Sec. 3.0003, eff. April 2,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219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