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A.  DEPARTMENT OF STATE HEALTH SERVICES</w:t>
      </w:r>
    </w:p>
    <w:p w:rsidR="003F3435" w:rsidRDefault="0032493E">
      <w:pPr>
        <w:spacing w:line="480" w:lineRule="auto"/>
        <w:jc w:val="center"/>
      </w:pPr>
      <w:r>
        <w:t xml:space="preserve">CHAPTER 11.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"Commissioner" means the commissioner of state health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"Department" means the Department of State Health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"Executive commissioner" means the executive commissioner of the Health and Human Services Commission.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  Amended by Acts 1993, 73rd Leg., ch. 747, Sec. 15, eff. Sept. 1, 1993.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 (S.B. </w:t>
      </w:r>
      <w:hyperlink w:docLocation="table" r:id="rId14">
        <w:r>
          <w:rPr>
            <w:rStyle w:val="Hyperlink"/>
          </w:rPr>
          <w:t>219</w:t>
        </w:r>
      </w:hyperlink>
      <w:r>
        <w:t xml:space="preserve">), Sec. 3.0003, eff. April 2,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219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