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2. HEALTH</w:t>
      </w:r>
    </w:p>
    <w:p w:rsidR="003F3435" w:rsidRDefault="0032493E">
      <w:pPr>
        <w:spacing w:line="480" w:lineRule="auto"/>
        <w:jc w:val="center"/>
      </w:pPr>
      <w:r>
        <w:t xml:space="preserve">SUBTITLE E. HEALTH CARE COUNCILS AND RESOURCE CENTERS</w:t>
      </w:r>
    </w:p>
    <w:p w:rsidR="003F3435" w:rsidRDefault="0032493E">
      <w:pPr>
        <w:spacing w:line="480" w:lineRule="auto"/>
        <w:jc w:val="center"/>
      </w:pPr>
      <w:r>
        <w:t xml:space="preserve">CHAPTER 110.  TASK FORCE ON PATIENT SOLICITATION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"task force" means the task force on patient solicitation created under this chapter.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4">
        <w:r>
          <w:rPr>
            <w:rStyle w:val="Hyperlink"/>
          </w:rPr>
          <w:t>4454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110.002.</w:t>
      </w:r>
      <w:r xml:space="preserve">
        <w:t> </w:t>
      </w:r>
      <w:r xml:space="preserve">
        <w:t> </w:t>
      </w:r>
      <w:r>
        <w:t xml:space="preserve">PURPOSE.</w:t>
      </w:r>
      <w:r xml:space="preserve">
        <w:t> </w:t>
      </w:r>
      <w:r xml:space="preserve">
        <w:t> </w:t>
      </w:r>
      <w:r>
        <w:t xml:space="preserve">The task force is established to study and make recommendations on preventing conduct that violates Chapter </w:t>
      </w:r>
      <w:r>
        <w:t xml:space="preserve">164</w:t>
      </w:r>
      <w:r>
        <w:t xml:space="preserve"> of this code or Chapter </w:t>
      </w:r>
      <w:r>
        <w:t xml:space="preserve">102</w:t>
      </w:r>
      <w:r>
        <w:t xml:space="preserve">, Occupations Code, and to improve enforcement of those chapters.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5">
        <w:r>
          <w:rPr>
            <w:rStyle w:val="Hyperlink"/>
          </w:rPr>
          <w:t>4454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110.003.</w:t>
      </w:r>
      <w:r xml:space="preserve">
        <w:t> </w:t>
      </w:r>
      <w:r xml:space="preserve">
        <w:t> </w:t>
      </w:r>
      <w:r>
        <w:t xml:space="preserve">MEMBERSHIP.  (a) The task force is composed of eight members as follows: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four members the executive commissioner appoints;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four members the attorney general appoints.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Each task force member must have expertise in the field of health care or advertising.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Task force members serve without compensation.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6">
        <w:r>
          <w:rPr>
            <w:rStyle w:val="Hyperlink"/>
          </w:rPr>
          <w:t>4454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110.004.</w:t>
      </w:r>
      <w:r xml:space="preserve">
        <w:t> </w:t>
      </w:r>
      <w:r xml:space="preserve">
        <w:t> </w:t>
      </w:r>
      <w:r>
        <w:t xml:space="preserve">ADMINISTRATIVE ATTACHMENT.</w:t>
      </w:r>
      <w:r xml:space="preserve">
        <w:t> </w:t>
      </w:r>
      <w:r xml:space="preserve">
        <w:t> </w:t>
      </w:r>
      <w:r>
        <w:t xml:space="preserve">The task force is administratively attached to the commission.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7">
        <w:r>
          <w:rPr>
            <w:rStyle w:val="Hyperlink"/>
          </w:rPr>
          <w:t>4454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110.005.</w:t>
      </w:r>
      <w:r xml:space="preserve">
        <w:t> </w:t>
      </w:r>
      <w:r xml:space="preserve">
        <w:t> </w:t>
      </w:r>
      <w:r>
        <w:t xml:space="preserve">ACCESS TO INFORMATION; CONFIDENTIALITY OF PROVIDED INFORMATION.</w:t>
      </w:r>
      <w:r xml:space="preserve">
        <w:t> </w:t>
      </w:r>
      <w:r>
        <w:t xml:space="preserve">The attorney general and the commission shall provide the task force with information the task force requests to allow the task force to fulfill its duties.</w:t>
      </w:r>
      <w:r xml:space="preserve">
        <w:t> </w:t>
      </w:r>
      <w:r xml:space="preserve">
        <w:t> </w:t>
      </w:r>
      <w:r>
        <w:t xml:space="preserve">Information provided under this section is confidential and is not subject to disclosure under Chapter </w:t>
      </w:r>
      <w:r>
        <w:t xml:space="preserve">552</w:t>
      </w:r>
      <w:r>
        <w:t xml:space="preserve">, Government Code.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8">
        <w:r>
          <w:rPr>
            <w:rStyle w:val="Hyperlink"/>
          </w:rPr>
          <w:t>4454</w:t>
        </w:r>
      </w:hyperlink>
      <w:r>
        <w:t xml:space="preserve">), Sec. 1, eff. September 1, 2025.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110.006.</w:t>
      </w:r>
      <w:r xml:space="preserve">
        <w:t> </w:t>
      </w:r>
      <w:r xml:space="preserve">
        <w:t> </w:t>
      </w:r>
      <w:r>
        <w:t xml:space="preserve">REPORT.</w:t>
      </w:r>
      <w:r xml:space="preserve">
        <w:t> </w:t>
      </w:r>
      <w:r xml:space="preserve">
        <w:t> </w:t>
      </w:r>
      <w:r>
        <w:t xml:space="preserve">Not later than December 1 of each even-numbered year, the task force shall submit to the legislature a report that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summary of civil or criminal actions brought on behalf of the state and administrative actions by state regulatory agencies in the preceding biennium for conduct that violates Chapter </w:t>
      </w:r>
      <w:r>
        <w:t xml:space="preserve">164</w:t>
      </w:r>
      <w:r>
        <w:t xml:space="preserve"> of this code or Chapter </w:t>
      </w:r>
      <w:r>
        <w:t xml:space="preserve">102</w:t>
      </w:r>
      <w:r>
        <w:t xml:space="preserve">, Occupations Code;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legislative recommendations for preventing conduct that violates Chapter </w:t>
      </w:r>
      <w:r>
        <w:t xml:space="preserve">164</w:t>
      </w:r>
      <w:r>
        <w:t xml:space="preserve"> of this code or Chapter </w:t>
      </w:r>
      <w:r>
        <w:t xml:space="preserve">102</w:t>
      </w:r>
      <w:r>
        <w:t xml:space="preserve">, Occupations Code, and improving enforcement of those chapters.</w:t>
      </w:r>
    </w:p>
    <w:p w:rsidR="003F3435" w:rsidRDefault="0032493E">
      <w:pPr>
        <w:spacing w:line="480" w:lineRule="auto"/>
        <w:jc w:val="both"/>
      </w:pPr>
      <w:r>
        <w:t xml:space="preserve">Added by Acts 2025, 89th Leg., R.S., Ch. 527 (H.B. </w:t>
      </w:r>
      <w:hyperlink w:docLocation="table" r:id="rId19">
        <w:r>
          <w:rPr>
            <w:rStyle w:val="Hyperlink"/>
          </w:rPr>
          <w:t>4454</w:t>
        </w:r>
      </w:hyperlink>
      <w:r>
        <w:t xml:space="preserve">), Sec. 1,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9R/billtext/html/HB04454F.HTM" TargetMode="External" Id="rId14" /><Relationship Type="http://schemas.openxmlformats.org/officeDocument/2006/relationships/hyperlink" Target="http://capitol.texas.gov/tlodocs/89R/billtext/html/HB04454F.HTM" TargetMode="External" Id="rId15" /><Relationship Type="http://schemas.openxmlformats.org/officeDocument/2006/relationships/hyperlink" Target="http://capitol.texas.gov/tlodocs/89R/billtext/html/HB04454F.HTM" TargetMode="External" Id="rId16" /><Relationship Type="http://schemas.openxmlformats.org/officeDocument/2006/relationships/hyperlink" Target="http://capitol.texas.gov/tlodocs/89R/billtext/html/HB04454F.HTM" TargetMode="External" Id="rId17" /><Relationship Type="http://schemas.openxmlformats.org/officeDocument/2006/relationships/hyperlink" Target="http://capitol.texas.gov/tlodocs/89R/billtext/html/HB04454F.HTM" TargetMode="External" Id="rId18" /><Relationship Type="http://schemas.openxmlformats.org/officeDocument/2006/relationships/hyperlink" Target="http://capitol.texas.gov/tlodocs/89R/billtext/html/HB04454F.HTM" TargetMode="External" Id="rId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