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G.  LICENSES AND OTHER REGULATION</w:t>
      </w:r>
    </w:p>
    <w:p w:rsidR="003F3435" w:rsidRDefault="0032493E">
      <w:pPr>
        <w:spacing w:line="480" w:lineRule="auto"/>
        <w:jc w:val="center"/>
      </w:pPr>
      <w:r>
        <w:t xml:space="preserve">CHAPTER 142A.  SUPPORTIVE PALLIATIVE CARE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142A.0001.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"supportive palliative care" means physician-directed interdisciplinary patient- and family-centered care provided to a patient with a serious illness without regard to the patient's age or terminal prognosis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may be provided concurrently with methods of treatment or therapies that seek to cure or minimize the effects of the patient's illness;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seeks to optimize the quality of life for a patient with a life-threatening or life-limiting illness and the patient's family through various methods, including methods that seek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anticipate, prevent, and treat the patient's total suffering related to the patient's physical, emotional, social, and spiritual condition;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address the physical, intellectual, emotional, cultural, social, and spiritual needs of the patient;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facilitate for the patient regarding treatment options, education, informed consent, and expression of desires.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609 (S.B. </w:t>
      </w:r>
      <w:hyperlink w:docLocation="table" r:id="rId14">
        <w:r>
          <w:rPr>
            <w:rStyle w:val="Hyperlink"/>
          </w:rPr>
          <w:t>916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142A.0002.</w:t>
      </w:r>
      <w:r xml:space="preserve">
        <w:t> </w:t>
      </w:r>
      <w:r xml:space="preserve">
        <w:t> </w:t>
      </w:r>
      <w:r>
        <w:t xml:space="preserve">REFERENCE IN OTHER LAW.</w:t>
      </w:r>
      <w:r xml:space="preserve">
        <w:t> </w:t>
      </w:r>
      <w:r xml:space="preserve">
        <w:t> </w:t>
      </w:r>
      <w:r>
        <w:t xml:space="preserve">Notwithstanding any other law, a reference in this code or other law to palliative care means supportive palliative care.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609 (S.B. </w:t>
      </w:r>
      <w:hyperlink w:docLocation="table" r:id="rId15">
        <w:r>
          <w:rPr>
            <w:rStyle w:val="Hyperlink"/>
          </w:rPr>
          <w:t>916</w:t>
        </w:r>
      </w:hyperlink>
      <w:r>
        <w:t xml:space="preserve">), Sec. 1, eff. June 10,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0916F.HTM" TargetMode="External" Id="rId14" /><Relationship Type="http://schemas.openxmlformats.org/officeDocument/2006/relationships/hyperlink" Target="http://capitol.texas.gov/tlodocs/86R/billtext/html/SB0091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