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HEALTH AND SAFETY CODE</w:t>
      </w:r>
    </w:p>
    <w:p w:rsidR="003F3435" w:rsidRDefault="0032493E">
      <w:pPr>
        <w:spacing w:line="480" w:lineRule="auto"/>
        <w:jc w:val="center"/>
      </w:pPr>
      <w:r>
        <w:t xml:space="preserve">TITLE 2. HEALTH</w:t>
      </w:r>
    </w:p>
    <w:p w:rsidR="003F3435" w:rsidRDefault="0032493E">
      <w:pPr>
        <w:spacing w:line="480" w:lineRule="auto"/>
        <w:jc w:val="center"/>
      </w:pPr>
      <w:r>
        <w:t xml:space="preserve">SUBTITLE H. PUBLIC HEALTH PROVISIONS</w:t>
      </w:r>
    </w:p>
    <w:p w:rsidR="003F3435" w:rsidRDefault="0032493E">
      <w:pPr>
        <w:spacing w:line="480" w:lineRule="auto"/>
        <w:jc w:val="center"/>
      </w:pPr>
      <w:r>
        <w:t xml:space="preserve">CHAPTER 167A.  PELVIC EXAMINATIONS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167A.001.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"Health care practitioner" means a physician, physician assistant, or advanced practice registered nurse licensed to practice in this state.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"Patient's legally authorized representative" means: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 parent, managing conservator, or guardian of a patient, if the patient is a minor;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guardian of the patient, if the patient has been adjudicated incompetent to manage the patient's personal affairs;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an agent of the patient authorized under a durable power of attorney for health care.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"Pelvic examination" means a physical examination by a health care practitioner of a patient's external and internal reproductive organs, genitalia, or rectum.</w:t>
      </w:r>
    </w:p>
    <w:p w:rsidR="003F3435" w:rsidRDefault="0032493E">
      <w:pPr>
        <w:spacing w:line="480" w:lineRule="auto"/>
        <w:jc w:val="both"/>
      </w:pPr>
      <w:r>
        <w:t xml:space="preserve">Added by Acts 2021, 87th Leg., R.S., Ch. 251 (H.B. </w:t>
      </w:r>
      <w:hyperlink w:docLocation="table" r:id="rId14">
        <w:r>
          <w:rPr>
            <w:rStyle w:val="Hyperlink"/>
          </w:rPr>
          <w:t>1434</w:t>
        </w:r>
      </w:hyperlink>
      <w:r>
        <w:t xml:space="preserve">), Sec. 1, eff. September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167A.002.</w:t>
      </w:r>
      <w:r xml:space="preserve">
        <w:t> </w:t>
      </w:r>
      <w:r xml:space="preserve">
        <w:t> </w:t>
      </w:r>
      <w:r>
        <w:t xml:space="preserve">LIMITATIONS ON CERTAIN PELVIC EXAMINATIONS.  (a)</w:t>
      </w:r>
      <w:r xml:space="preserve">
        <w:t> </w:t>
      </w:r>
      <w:r xml:space="preserve">
        <w:t> </w:t>
      </w:r>
      <w:r>
        <w:t xml:space="preserve">A health care practitioner may not perform or delegate to another individual, including a student training to become a health care practitioner, the performance of a pelvic examination on an anesthetized or unconscious patient unless: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pelvic examination is within the standard scope of a procedure or diagnostic examination scheduled to be performed on the patient;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patient or the patient's legally authorized representative gives informed consent for the pelvic examination as provided by Subsection (b); 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pelvic examination is necessary for diagnosis or treatment of the patient's medical condition;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the pelvic examination is for the purpose of collecting evidence.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To obtain informed consent to perform a pelvic examination on an unconscious or anesthetized patient, a health care practitioner must: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provide the patient or the patient's legally authorized representative with a written or electronic informed consent form that: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may be included as a distinct or separate section of a general informed consent form; 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contains the following heading at the top of the form in at least 18-point boldface type: "CONSENT FOR EXAMINATION OF PELVIC REGION";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specifies the nature and purpose of the pelvic examination; </w:t>
      </w:r>
    </w:p>
    <w:p w:rsidR="003F3435" w:rsidRDefault="0032493E">
      <w:pPr>
        <w:spacing w:line="480" w:lineRule="auto"/>
        <w:ind w:firstLine="216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informs the patient or the patient's legally authorized representative that a medical student or resident may be present if the patient or the patient's legally authorized representative authorizes the student or resident to:</w:t>
      </w:r>
      <w:r xml:space="preserve">
        <w:t> </w:t>
      </w:r>
      <w:r xml:space="preserve">
        <w:t> 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(i)</w:t>
      </w:r>
      <w:r xml:space="preserve">
        <w:t> </w:t>
      </w:r>
      <w:r xml:space="preserve">
        <w:t> </w:t>
      </w:r>
      <w:r>
        <w:t xml:space="preserve">perform the pelvic examination; or 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(ii)</w:t>
      </w:r>
      <w:r xml:space="preserve">
        <w:t> </w:t>
      </w:r>
      <w:r xml:space="preserve">
        <w:t> </w:t>
      </w:r>
      <w:r>
        <w:t xml:space="preserve">observe or otherwise be present at the pelvic examination, either in person or through electronic means; </w:t>
      </w:r>
    </w:p>
    <w:p w:rsidR="003F3435" w:rsidRDefault="0032493E">
      <w:pPr>
        <w:spacing w:line="480" w:lineRule="auto"/>
        <w:ind w:firstLine="216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allows the patient or the patient's legally authorized representative the opportunity to consent to or refuse to consent to the pelvic examination;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(F)</w:t>
      </w:r>
      <w:r xml:space="preserve">
        <w:t> </w:t>
      </w:r>
      <w:r xml:space="preserve">
        <w:t> </w:t>
      </w:r>
      <w:r>
        <w:t xml:space="preserve">allows a patient or a patient's legally authorized representative that consents to a pelvic examination under Paragraph (E) the opportunity to authorize or refuse to authorize: 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(i)</w:t>
      </w:r>
      <w:r xml:space="preserve">
        <w:t> </w:t>
      </w:r>
      <w:r xml:space="preserve">
        <w:t> </w:t>
      </w:r>
      <w:r>
        <w:t xml:space="preserve">a medical student or resident to perform the pelvic examination; or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(ii)</w:t>
      </w:r>
      <w:r xml:space="preserve">
        <w:t> </w:t>
      </w:r>
      <w:r xml:space="preserve">
        <w:t> </w:t>
      </w:r>
      <w:r>
        <w:t xml:space="preserve">a medical student or resident to observe or otherwise be present at the pelvic examination, either in person or through electronic means;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obtain the signature of the patient or the patient's legally authorized representative on the informed consent form;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sign the informed consent form. </w:t>
      </w:r>
    </w:p>
    <w:p w:rsidR="003F3435" w:rsidRDefault="0032493E">
      <w:pPr>
        <w:spacing w:line="480" w:lineRule="auto"/>
        <w:jc w:val="both"/>
      </w:pPr>
      <w:r>
        <w:t xml:space="preserve">Added by Acts 2021, 87th Leg., R.S., Ch. 251 (H.B. </w:t>
      </w:r>
      <w:hyperlink w:docLocation="table" r:id="rId15">
        <w:r>
          <w:rPr>
            <w:rStyle w:val="Hyperlink"/>
          </w:rPr>
          <w:t>1434</w:t>
        </w:r>
      </w:hyperlink>
      <w:r>
        <w:t xml:space="preserve">), Sec. 1, eff. September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167A.003.</w:t>
      </w:r>
      <w:r xml:space="preserve">
        <w:t> </w:t>
      </w:r>
      <w:r xml:space="preserve">
        <w:t> </w:t>
      </w:r>
      <w:r>
        <w:t xml:space="preserve">DISCIPLINARY ACTION.</w:t>
      </w:r>
      <w:r xml:space="preserve">
        <w:t> </w:t>
      </w:r>
      <w:r xml:space="preserve">
        <w:t> </w:t>
      </w:r>
      <w:r>
        <w:t xml:space="preserve">The appropriate licensing authority may take disciplinary action against a health care practitioner who violates Section </w:t>
      </w:r>
      <w:r>
        <w:t xml:space="preserve">167A.002</w:t>
      </w:r>
      <w:r>
        <w:t xml:space="preserve">, including imposing an administrative penalty, as if the practitioner violated an applicable licensing law.</w:t>
      </w:r>
    </w:p>
    <w:p w:rsidR="003F3435" w:rsidRDefault="0032493E">
      <w:pPr>
        <w:spacing w:line="480" w:lineRule="auto"/>
        <w:jc w:val="both"/>
      </w:pPr>
      <w:r>
        <w:t xml:space="preserve">Added by Acts 2021, 87th Leg., R.S., Ch. 251 (H.B. </w:t>
      </w:r>
      <w:hyperlink w:docLocation="table" r:id="rId16">
        <w:r>
          <w:rPr>
            <w:rStyle w:val="Hyperlink"/>
          </w:rPr>
          <w:t>1434</w:t>
        </w:r>
      </w:hyperlink>
      <w:r>
        <w:t xml:space="preserve">), Sec. 1, eff. September 1, 2021.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7R/billtext/html/HB01434F.HTM" TargetMode="External" Id="rId14" /><Relationship Type="http://schemas.openxmlformats.org/officeDocument/2006/relationships/hyperlink" Target="http://capitol.texas.gov/tlodocs/87R/billtext/html/HB01434F.HTM" TargetMode="External" Id="rId15" /><Relationship Type="http://schemas.openxmlformats.org/officeDocument/2006/relationships/hyperlink" Target="http://capitol.texas.gov/tlodocs/87R/billtext/html/HB01434F.HTM" TargetMode="External" Id="rId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