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HEALTH AND SAFETY CODE</w:t>
      </w:r>
    </w:p>
    <w:p w:rsidR="003F3435" w:rsidRDefault="0032493E">
      <w:pPr>
        <w:spacing w:line="480" w:lineRule="auto"/>
        <w:jc w:val="center"/>
      </w:pPr>
      <w:r>
        <w:t xml:space="preserve">TITLE 4. HEALTH FACILITIES</w:t>
      </w:r>
    </w:p>
    <w:p w:rsidR="003F3435" w:rsidRDefault="0032493E">
      <w:pPr>
        <w:spacing w:line="480" w:lineRule="auto"/>
        <w:jc w:val="center"/>
      </w:pPr>
      <w:r>
        <w:t xml:space="preserve">SUBTITLE F. POWERS AND DUTIES OF HOSPITALS</w:t>
      </w:r>
    </w:p>
    <w:p w:rsidR="003F3435" w:rsidRDefault="0032493E">
      <w:pPr>
        <w:spacing w:line="480" w:lineRule="auto"/>
        <w:jc w:val="center"/>
      </w:pPr>
      <w:r>
        <w:t xml:space="preserve">CHAPTER 315.  AUTHORITY TO BORROW MONEY FOR PUBLIC HOSPITALS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315.001.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"local governmental entity" includes: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hospital district created under general or special law;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municipal hospital authority;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county hospital authority;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a municipality;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a county.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611 (S.B. </w:t>
      </w:r>
      <w:hyperlink w:docLocation="table" r:id="rId14">
        <w:r>
          <w:rPr>
            <w:rStyle w:val="Hyperlink"/>
          </w:rPr>
          <w:t>494</w:t>
        </w:r>
      </w:hyperlink>
      <w:r>
        <w:t xml:space="preserve">), Sec. 1, eff. September 1,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315.002.</w:t>
      </w:r>
      <w:r xml:space="preserve">
        <w:t> </w:t>
      </w:r>
      <w:r xml:space="preserve">
        <w:t> </w:t>
      </w:r>
      <w:r>
        <w:t xml:space="preserve">AUTHORITY TO BORROW MONEY FOR PUBLIC HOSPITAL; SECURITY.  (a)</w:t>
      </w:r>
      <w:r xml:space="preserve">
        <w:t> </w:t>
      </w:r>
      <w:r xml:space="preserve">
        <w:t> </w:t>
      </w:r>
      <w:r>
        <w:t xml:space="preserve">A local governmental entity may borrow money for purposes of a hospital owned or operated by the entity at a rate not to exceed the maximum annual percentage rate allowed by the law at the time the loan is made for similar obligations of the entity.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secure a loan under this section, a local governmental entity may pledge: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revenue from the hospital owned or operated by the entity that is not pledged to pay the entity's bonded indebtedness;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tax revenue to be collected by the local governmental entity during the 12-month period following the date of the pledge that is not pledged to pay the principal of or interest on bonds.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loan authorized by this section must mature: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not later than the first anniversary of the date the loan is made, if taxes are pledged to repay the loan;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not later than the fifth anniversary of the date the loan is made, if hospital revenue is pledged to repay the loan.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611 (S.B. </w:t>
      </w:r>
      <w:hyperlink w:docLocation="table" r:id="rId15">
        <w:r>
          <w:rPr>
            <w:rStyle w:val="Hyperlink"/>
          </w:rPr>
          <w:t>494</w:t>
        </w:r>
      </w:hyperlink>
      <w:r>
        <w:t xml:space="preserve">), Sec. 1, eff. September 1, 2011.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SB00494F.HTM" TargetMode="External" Id="rId14" /><Relationship Type="http://schemas.openxmlformats.org/officeDocument/2006/relationships/hyperlink" Target="http://capitol.texas.gov/tlodocs/82R/billtext/html/SB00494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