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HEALTH AND SAFETY CODE</w:t>
      </w:r>
    </w:p>
    <w:p w:rsidR="003F3435" w:rsidRDefault="0032493E">
      <w:pPr>
        <w:spacing w:line="480" w:lineRule="auto"/>
        <w:jc w:val="center"/>
      </w:pPr>
      <w:r>
        <w:t xml:space="preserve">TITLE 6. FOOD, DRUGS, ALCOHOL, AND HAZARDOUS SUBSTANCES</w:t>
      </w:r>
    </w:p>
    <w:p w:rsidR="003F3435" w:rsidRDefault="0032493E">
      <w:pPr>
        <w:spacing w:line="480" w:lineRule="auto"/>
        <w:jc w:val="center"/>
      </w:pPr>
      <w:r>
        <w:t xml:space="preserve">SUBTITLE A. FOOD AND DRUG HEALTH REGULATIONS</w:t>
      </w:r>
    </w:p>
    <w:p w:rsidR="003F3435" w:rsidRDefault="0032493E">
      <w:pPr>
        <w:spacing w:line="480" w:lineRule="auto"/>
        <w:jc w:val="center"/>
      </w:pPr>
      <w:r>
        <w:t xml:space="preserve">CHAPTER 430.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430.001.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subtitle: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"Commissioner" means the commissioner of state health services.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"Department" means the Department of State Health Services.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"Executive commissioner" means the executive commissioner of the Health and Human Services Commission.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1 (S.B. </w:t>
      </w:r>
      <w:hyperlink w:docLocation="table" r:id="rId14">
        <w:r>
          <w:rPr>
            <w:rStyle w:val="Hyperlink"/>
          </w:rPr>
          <w:t>219</w:t>
        </w:r>
      </w:hyperlink>
      <w:r>
        <w:t xml:space="preserve">), Sec. 3.0940, eff. April 2,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SB00219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