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B.  HEALTH PROGRAMS</w:t>
      </w:r>
    </w:p>
    <w:p w:rsidR="003F3435" w:rsidRDefault="0032493E">
      <w:pPr>
        <w:spacing w:line="480" w:lineRule="auto"/>
        <w:jc w:val="center"/>
      </w:pPr>
      <w:r>
        <w:t xml:space="preserve">CHAPTER 46.  CONGENITAL CYTOMEGALOVIRUS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46.001.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"congenital cytomegalovirus" means cytomegalovirus acquired by an infant before birth.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1163 (S.B. </w:t>
      </w:r>
      <w:hyperlink w:docLocation="table" r:id="rId14">
        <w:r>
          <w:rPr>
            <w:rStyle w:val="Hyperlink"/>
          </w:rPr>
          <w:t>791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46.002.</w:t>
      </w:r>
      <w:r xml:space="preserve">
        <w:t> </w:t>
      </w:r>
      <w:r xml:space="preserve">
        <w:t> </w:t>
      </w:r>
      <w:r>
        <w:t xml:space="preserve">EDUCATIONAL MATERIALS ON CONGENITAL CYTOMEGALOVIRUS.  (a)</w:t>
      </w:r>
      <w:r xml:space="preserve">
        <w:t> </w:t>
      </w:r>
      <w:r xml:space="preserve">
        <w:t> </w:t>
      </w:r>
      <w:r>
        <w:t xml:space="preserve">The department, in consultation with the Texas Medical Board, shall develop and publish informational materials for women who may become pregnant, expectant parents, and parents of infants regarding: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incidence of cytomegalovirus;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transmission of cytomegalovirus to pregnant women and women who may become pregnant;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birth defects caused by congenital cytomegalovirus;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available preventive measures to avoid the infection of women who are pregnant or may become pregnant;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resources available for families of children born with congenital cytomegalovirus.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materials must be published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English and Spanish;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easily comprehensible form;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typeface large enough to be clearly legible.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department shall periodically review the materials to determine if changes to the contents of the materials are necessary.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1163 (S.B. </w:t>
      </w:r>
      <w:hyperlink w:docLocation="table" r:id="rId15">
        <w:r>
          <w:rPr>
            <w:rStyle w:val="Hyperlink"/>
          </w:rPr>
          <w:t>791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46.003.</w:t>
      </w:r>
      <w:r xml:space="preserve">
        <w:t> </w:t>
      </w:r>
      <w:r xml:space="preserve">
        <w:t> </w:t>
      </w:r>
      <w:r>
        <w:t xml:space="preserve">PUBLICATION OF MATERIALS.  (a)</w:t>
      </w:r>
      <w:r xml:space="preserve">
        <w:t> </w:t>
      </w:r>
      <w:r xml:space="preserve">
        <w:t> </w:t>
      </w:r>
      <w:r>
        <w:t xml:space="preserve">The department shall publish the information required to be published under this chapter on the department's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not charge a fee for physical copies of the materials.</w:t>
      </w:r>
      <w:r xml:space="preserve">
        <w:t> </w:t>
      </w:r>
      <w:r xml:space="preserve">
        <w:t> </w:t>
      </w:r>
      <w:r>
        <w:t xml:space="preserve">The department shall provide appropriate quantities of the materials to any person on request.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1163 (S.B. </w:t>
      </w:r>
      <w:hyperlink w:docLocation="table" r:id="rId16">
        <w:r>
          <w:rPr>
            <w:rStyle w:val="Hyperlink"/>
          </w:rPr>
          <w:t>791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46.004.</w:t>
      </w:r>
      <w:r xml:space="preserve">
        <w:t> </w:t>
      </w:r>
      <w:r xml:space="preserve">
        <w:t> </w:t>
      </w:r>
      <w:r>
        <w:t xml:space="preserve">EDUCATION AND OUTREACH.  (a)</w:t>
      </w:r>
      <w:r xml:space="preserve">
        <w:t> </w:t>
      </w:r>
      <w:r xml:space="preserve">
        <w:t> </w:t>
      </w:r>
      <w:r>
        <w:t xml:space="preserve">The department shall establish an outreach program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educate women who may become pregnant, expectant parents, and parents of infants about cytomegalovirus; and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raise awareness of cytomegalovirus among health care providers who provide care to expectant mothers or infants.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solicit and accept the assistance of any relevant medical associations or community resources, including faith-based resources, to promote education about cytomegalovirus under this chapter.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1163 (S.B. </w:t>
      </w:r>
      <w:hyperlink w:docLocation="table" r:id="rId17">
        <w:r>
          <w:rPr>
            <w:rStyle w:val="Hyperlink"/>
          </w:rPr>
          <w:t>791</w:t>
        </w:r>
      </w:hyperlink>
      <w:r>
        <w:t xml:space="preserve">), Sec. 2,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46.005.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executive commissioner may adopt rules for the implementation of this chapter.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1163 (S.B. </w:t>
      </w:r>
      <w:hyperlink w:docLocation="table" r:id="rId18">
        <w:r>
          <w:rPr>
            <w:rStyle w:val="Hyperlink"/>
          </w:rPr>
          <w:t>791</w:t>
        </w:r>
      </w:hyperlink>
      <w:r>
        <w:t xml:space="preserve">), Sec. 2,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791F.HTM" TargetMode="External" Id="rId14" /><Relationship Type="http://schemas.openxmlformats.org/officeDocument/2006/relationships/hyperlink" Target="http://capitol.texas.gov/tlodocs/84R/billtext/html/SB00791F.HTM" TargetMode="External" Id="rId15" /><Relationship Type="http://schemas.openxmlformats.org/officeDocument/2006/relationships/hyperlink" Target="http://capitol.texas.gov/tlodocs/84R/billtext/html/SB00791F.HTM" TargetMode="External" Id="rId16" /><Relationship Type="http://schemas.openxmlformats.org/officeDocument/2006/relationships/hyperlink" Target="http://capitol.texas.gov/tlodocs/84R/billtext/html/SB00791F.HTM" TargetMode="External" Id="rId17" /><Relationship Type="http://schemas.openxmlformats.org/officeDocument/2006/relationships/hyperlink" Target="http://capitol.texas.gov/tlodocs/84R/billtext/html/SB00791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