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HEALTH AND SAFETY CODE</w:t>
      </w:r>
    </w:p>
    <w:p w:rsidR="003F3435" w:rsidRDefault="0032493E">
      <w:pPr>
        <w:spacing w:line="480" w:lineRule="auto"/>
        <w:jc w:val="center"/>
      </w:pPr>
      <w:r>
        <w:t xml:space="preserve">TITLE 7. MENTAL HEALTH AND INTELLECTUAL DISABILITY</w:t>
      </w:r>
    </w:p>
    <w:p w:rsidR="003F3435" w:rsidRDefault="0032493E">
      <w:pPr>
        <w:spacing w:line="480" w:lineRule="auto"/>
        <w:jc w:val="center"/>
      </w:pPr>
      <w:r>
        <w:t xml:space="preserve">SUBTITLE A.  SERVICES FOR PERSONS WITH MENTAL ILLNESS OR AN INTELLECTUAL DISABILITY</w:t>
      </w:r>
    </w:p>
    <w:p w:rsidR="003F3435" w:rsidRDefault="0032493E">
      <w:pPr>
        <w:spacing w:line="480" w:lineRule="auto"/>
        <w:jc w:val="center"/>
      </w:pPr>
      <w:r>
        <w:t xml:space="preserve">CHAPTER 532. GENERAL PROVISIONS RELATING TO DEPARTMENT OF STATE HEALTH SERVICES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532.001.</w:t>
      </w:r>
      <w:r xml:space="preserve">
        <w:t> </w:t>
      </w:r>
      <w:r xml:space="preserve">
        <w:t> </w:t>
      </w:r>
      <w:r>
        <w:t xml:space="preserve">DEFINITIONS; MENTAL HEALTH COMPONENTS OF DEPARTMENT.  (a)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"Commissioner" means the commissioner of state health services.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"Department" means the Department of State Health Services.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department includes community services operated by the department and the following facilities: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central office of the department;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Austin State Hospital;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Big Spring State Hospital;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Kerrville State Hospital;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the Rusk State Hospital;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the San Antonio State Hospital;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the Terrell State Hospital;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the Vernon State Hospital;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(9)</w:t>
      </w:r>
      <w:r xml:space="preserve">
        <w:t> </w:t>
      </w:r>
      <w:r xml:space="preserve">
        <w:t> </w:t>
      </w:r>
      <w:r>
        <w:t xml:space="preserve">the Rio Grande State Center;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(10)</w:t>
      </w:r>
      <w:r xml:space="preserve">
        <w:t> </w:t>
      </w:r>
      <w:r xml:space="preserve">
        <w:t> </w:t>
      </w:r>
      <w:r>
        <w:t xml:space="preserve">the Waco Center for Youth;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(11)</w:t>
      </w:r>
      <w:r xml:space="preserve">
        <w:t> </w:t>
      </w:r>
      <w:r xml:space="preserve">
        <w:t> </w:t>
      </w:r>
      <w:r>
        <w:t xml:space="preserve">the El Paso Psychiatric Center;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(12)</w:t>
      </w:r>
      <w:r xml:space="preserve">
        <w:t> </w:t>
      </w:r>
      <w:r xml:space="preserve">
        <w:t> </w:t>
      </w:r>
      <w:r>
        <w:t xml:space="preserve">the Wichita Falls State Hospital;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(13)</w:t>
      </w:r>
      <w:r xml:space="preserve">
        <w:t> </w:t>
      </w:r>
      <w:r xml:space="preserve">
        <w:t> </w:t>
      </w:r>
      <w:r>
        <w:t xml:space="preserve">the Panhandle State Hospital;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(14)</w:t>
      </w:r>
      <w:r xml:space="preserve">
        <w:t> </w:t>
      </w:r>
      <w:r xml:space="preserve">
        <w:t> </w:t>
      </w:r>
      <w:r>
        <w:t xml:space="preserve">the Lubbock Psychiatric Center.</w:t>
      </w:r>
    </w:p>
    <w:p w:rsidR="003F3435" w:rsidRDefault="0032493E">
      <w:pPr>
        <w:spacing w:line="480" w:lineRule="auto"/>
        <w:jc w:val="both"/>
      </w:pPr>
      <w:r>
        <w:t xml:space="preserve">Added by Acts 1991, 72nd Leg., ch. 76, Sec. 1, eff. Sept. 1, 1991.  Amended by Acts 1995, 74th Leg., ch. 821, Sec. 3, eff. Sept. 1, 1995;  Acts 1997, 75th Leg., ch. 500, Sec. 1, eff. May 31, 1997;  Acts 1999, 76th Leg., ch. 543, Sec. 1, eff. June 18, 1999;  Acts 2001, 77th Leg., ch. 893, Sec. 1, eff. June 14, 2001.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2009, 81st Leg., R.S., Ch. 284 (S.B. </w:t>
      </w:r>
      <w:hyperlink w:docLocation="table" r:id="rId14">
        <w:r>
          <w:rPr>
            <w:rStyle w:val="Hyperlink"/>
          </w:rPr>
          <w:t>643</w:t>
        </w:r>
      </w:hyperlink>
      <w:r>
        <w:t xml:space="preserve">), Sec. 19, eff. June 11, 2009.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2013, 83rd Leg., R.S., Ch. 395 (S.B. </w:t>
      </w:r>
      <w:hyperlink w:docLocation="table" r:id="rId15">
        <w:r>
          <w:rPr>
            <w:rStyle w:val="Hyperlink"/>
          </w:rPr>
          <w:t>152</w:t>
        </w:r>
      </w:hyperlink>
      <w:r>
        <w:t xml:space="preserve">), Sec. 1, eff. June 14, 2013.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1 (S.B. </w:t>
      </w:r>
      <w:hyperlink w:docLocation="table" r:id="rId16">
        <w:r>
          <w:rPr>
            <w:rStyle w:val="Hyperlink"/>
          </w:rPr>
          <w:t>219</w:t>
        </w:r>
      </w:hyperlink>
      <w:r>
        <w:t xml:space="preserve">), Sec. 3.1334, eff. April 2, 2015.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2025, 89th Leg., R.S., Ch. 214 (H.B. </w:t>
      </w:r>
      <w:hyperlink w:docLocation="table" r:id="rId17">
        <w:r>
          <w:rPr>
            <w:rStyle w:val="Hyperlink"/>
          </w:rPr>
          <w:t>913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532.002.</w:t>
      </w:r>
      <w:r xml:space="preserve">
        <w:t> </w:t>
      </w:r>
      <w:r xml:space="preserve">
        <w:t> </w:t>
      </w:r>
      <w:r>
        <w:t xml:space="preserve"> MEDICAL DIRECTOR.  (a)</w:t>
      </w:r>
      <w:r xml:space="preserve">
        <w:t> </w:t>
      </w:r>
      <w:r xml:space="preserve">
        <w:t> </w:t>
      </w:r>
      <w:r>
        <w:t xml:space="preserve">The commissioner shall appoint a medical director.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To be qualified for appointment as the medical director under this section, a person must: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be a physician licensed to practice in this state;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have proven administrative experience and ability in comprehensive health care or human service operations.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medical director reports to the commissioner and is responsible for the following duties under this title: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oversight of the quality and appropriateness of clinical services delivered in department mental health facilities or under contract to the department in relation to mental health services;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leadership in physician recruitment and retention and peer review.</w:t>
      </w:r>
    </w:p>
    <w:p w:rsidR="003F3435" w:rsidRDefault="0032493E">
      <w:pPr>
        <w:spacing w:line="480" w:lineRule="auto"/>
        <w:jc w:val="both"/>
      </w:pPr>
      <w:r>
        <w:t xml:space="preserve">Added by Acts 1991, 72nd Leg., ch. 76, Sec. 1, eff. Sept. 1, 1991.  Amended by Acts 1991, 72nd Leg., 1st C.S., ch. 17, Sec. 4.07, eff. Nov. 12, 1991;  Acts 1999, 76th Leg., ch. 1187, Sec. 1, eff. Sept. 1, 1999.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2011, 82nd Leg., R.S., Ch. 1232 (S.B. </w:t>
      </w:r>
      <w:hyperlink w:docLocation="table" r:id="rId18">
        <w:r>
          <w:rPr>
            <w:rStyle w:val="Hyperlink"/>
          </w:rPr>
          <w:t>652</w:t>
        </w:r>
      </w:hyperlink>
      <w:r>
        <w:t xml:space="preserve">), Sec. 2.10, eff. June 17, 2011.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1 (S.B. </w:t>
      </w:r>
      <w:hyperlink w:docLocation="table" r:id="rId19">
        <w:r>
          <w:rPr>
            <w:rStyle w:val="Hyperlink"/>
          </w:rPr>
          <w:t>219</w:t>
        </w:r>
      </w:hyperlink>
      <w:r>
        <w:t xml:space="preserve">), Sec. 3.1334, eff. April 2,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532.003.</w:t>
      </w:r>
      <w:r xml:space="preserve">
        <w:t> </w:t>
      </w:r>
      <w:r xml:space="preserve">
        <w:t> </w:t>
      </w:r>
      <w:r>
        <w:t xml:space="preserve">HEADS OF DEPARTMENTAL MENTAL HEALTH FACILITIES.  (a)</w:t>
      </w:r>
      <w:r xml:space="preserve">
        <w:t> </w:t>
      </w:r>
      <w:r xml:space="preserve">
        <w:t> </w:t>
      </w:r>
      <w:r>
        <w:t xml:space="preserve">The commissioner shall appoint the head of each mental health facility the department administers.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head of a facility serves at the will of the commissioner.</w:t>
      </w:r>
    </w:p>
    <w:p w:rsidR="003F3435" w:rsidRDefault="0032493E">
      <w:pPr>
        <w:spacing w:line="480" w:lineRule="auto"/>
        <w:jc w:val="both"/>
      </w:pPr>
      <w:r>
        <w:t xml:space="preserve">Added by Acts 1991, 72nd Leg., ch. 76, Sec. 1, eff. Sept. 1, 1991.  Amended by Acts 1995, 74th Leg., ch. 208, Sec. 1, eff. Aug. 28, 1995;  Acts 1995, 74th Leg., ch. 821, Sec. 4, eff. Sept. 1, 1995.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1 (S.B. </w:t>
      </w:r>
      <w:hyperlink w:docLocation="table" r:id="rId20">
        <w:r>
          <w:rPr>
            <w:rStyle w:val="Hyperlink"/>
          </w:rPr>
          <w:t>219</w:t>
        </w:r>
      </w:hyperlink>
      <w:r>
        <w:t xml:space="preserve">), Sec. 3.1334, eff. April 2,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532.004.</w:t>
      </w:r>
      <w:r xml:space="preserve">
        <w:t> </w:t>
      </w:r>
      <w:r xml:space="preserve">
        <w:t> </w:t>
      </w:r>
      <w:r>
        <w:t xml:space="preserve">ADVISORY COMMITTEES.  (a)</w:t>
      </w:r>
      <w:r xml:space="preserve">
        <w:t> </w:t>
      </w:r>
      <w:r xml:space="preserve">
        <w:t> </w:t>
      </w:r>
      <w:r>
        <w:t xml:space="preserve">The executive commissioner shall appoint any advisory committees the executive commissioner considers necessary to assist in the effective administration of the department's mental health programs.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department may reimburse committee members for travel costs incurred in performing their duties as provided by Section </w:t>
      </w:r>
      <w:r>
        <w:t xml:space="preserve">2110.004</w:t>
      </w:r>
      <w:r>
        <w:t xml:space="preserve">, Government Code.</w:t>
      </w:r>
    </w:p>
    <w:p w:rsidR="003F3435" w:rsidRDefault="0032493E">
      <w:pPr>
        <w:spacing w:line="480" w:lineRule="auto"/>
        <w:jc w:val="both"/>
      </w:pPr>
      <w:r>
        <w:t xml:space="preserve">Added by Acts 1991, 72nd Leg., ch. 76, Sec. 1, eff. Sept. 1, 1991.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1 (S.B. </w:t>
      </w:r>
      <w:hyperlink w:docLocation="table" r:id="rId21">
        <w:r>
          <w:rPr>
            <w:rStyle w:val="Hyperlink"/>
          </w:rPr>
          <w:t>219</w:t>
        </w:r>
      </w:hyperlink>
      <w:r>
        <w:t xml:space="preserve">), Sec. 3.1334, eff. April 2,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532.013.</w:t>
      </w:r>
      <w:r xml:space="preserve">
        <w:t> </w:t>
      </w:r>
      <w:r xml:space="preserve">
        <w:t> </w:t>
      </w:r>
      <w:r>
        <w:t xml:space="preserve">FORENSIC DIRECTOR.  (a)</w:t>
      </w:r>
      <w:r xml:space="preserve">
        <w:t> </w:t>
      </w:r>
      <w:r xml:space="preserve">
        <w:t> </w:t>
      </w:r>
      <w:r>
        <w:t xml:space="preserve">In this section: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"Forensic patient" means a person with mental illness or a person with an intellectual disability who is: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examined on the issue of competency to stand trial by an expert appointed under Subchapter </w:t>
      </w:r>
      <w:r>
        <w:t xml:space="preserve">B</w:t>
      </w:r>
      <w:r>
        <w:t xml:space="preserve">, Chapter </w:t>
      </w:r>
      <w:r>
        <w:t xml:space="preserve">46B</w:t>
      </w:r>
      <w:r>
        <w:t xml:space="preserve">, Code of Criminal Procedure;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found incompetent to stand trial under Subchapter </w:t>
      </w:r>
      <w:r>
        <w:t xml:space="preserve">C</w:t>
      </w:r>
      <w:r>
        <w:t xml:space="preserve">, Chapter </w:t>
      </w:r>
      <w:r>
        <w:t xml:space="preserve">46B</w:t>
      </w:r>
      <w:r>
        <w:t xml:space="preserve">, Code of Criminal Procedure;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committed to court-ordered mental health services under Subchapter </w:t>
      </w:r>
      <w:r>
        <w:t xml:space="preserve">E</w:t>
      </w:r>
      <w:r>
        <w:t xml:space="preserve">, Chapter </w:t>
      </w:r>
      <w:r>
        <w:t xml:space="preserve">46B</w:t>
      </w:r>
      <w:r>
        <w:t xml:space="preserve">, Code of Criminal Procedure;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found not guilty by reason of insanity under Chapter </w:t>
      </w:r>
      <w:r>
        <w:t xml:space="preserve">46C</w:t>
      </w:r>
      <w:r>
        <w:t xml:space="preserve">, Code of Criminal Procedure;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examined on the issue of fitness to proceed with juvenile court proceedings by an expert appointed under Chapter </w:t>
      </w:r>
      <w:r>
        <w:t xml:space="preserve">51</w:t>
      </w:r>
      <w:r>
        <w:t xml:space="preserve">, Family Code;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found unfit to proceed under Subchapter </w:t>
      </w:r>
      <w:r>
        <w:t xml:space="preserve">C</w:t>
      </w:r>
      <w:r>
        <w:t xml:space="preserve">, Chapter </w:t>
      </w:r>
      <w:r>
        <w:t xml:space="preserve">55</w:t>
      </w:r>
      <w:r>
        <w:t xml:space="preserve">, Family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"Forensic services" means a competency examination, competency restoration services, or mental health or intellectual disability services provided to a current or former forensic patient in the community or at a department facility.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commissioner shall appoint a forensic director.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To be qualified for appointment as forensic director, a person must have proven expertise in the social, health, and legal systems for forensic patients, and in the intersection of those systems.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forensic director reports to the commissioner and is responsible for: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statewide coordination and oversight of forensic services;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coordination of programs operated by the department relating to evaluation of forensic patients, transition of forensic patients from inpatient to outpatient or community-based services, community forensic monitoring, or forensic research and training;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addressing issues with the delivery of forensic services in the state, including: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significant increases in populations with serious mental illness and criminal justice system involvement;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adequate availability of department facilities for civilly committed forensic patients;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wait times for forensic patients who require competency restoration services;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interruption of mental health services of recently released forensic patients;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coordination of services provided to forensic patients by state agencies;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provision of input regarding the regional allocation of mental health beds for certain forensic patients and other patients with mental illness under Section </w:t>
      </w:r>
      <w:r>
        <w:t xml:space="preserve">533.0515</w:t>
      </w:r>
      <w:r>
        <w:t xml:space="preserve">; and </w:t>
      </w:r>
    </w:p>
    <w:p w:rsidR="003F3435" w:rsidRDefault="0032493E">
      <w:pPr>
        <w:spacing w:line="480" w:lineRule="auto"/>
        <w:ind w:firstLine="2160"/>
        <w:jc w:val="both"/>
      </w:pPr>
      <w:r>
        <w:t xml:space="preserve">(G)</w:t>
      </w:r>
      <w:r xml:space="preserve">
        <w:t> </w:t>
      </w:r>
      <w:r xml:space="preserve">
        <w:t> </w:t>
      </w:r>
      <w:r>
        <w:t xml:space="preserve">provision of input regarding the development and maintenance of a training curriculum for judges and attorneys for treatment alternatives to inpatient commitment to a state hospital for certain forensic patients under Section </w:t>
      </w:r>
      <w:r>
        <w:t xml:space="preserve">1001.086</w:t>
      </w:r>
      <w:r>
        <w:t xml:space="preserve">. 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207 (S.B. </w:t>
      </w:r>
      <w:hyperlink w:docLocation="table" r:id="rId22">
        <w:r>
          <w:rPr>
            <w:rStyle w:val="Hyperlink"/>
          </w:rPr>
          <w:t>1507</w:t>
        </w:r>
      </w:hyperlink>
      <w:r>
        <w:t xml:space="preserve">), Sec. 1, eff. May 28, 2015.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1212 (S.B. </w:t>
      </w:r>
      <w:hyperlink w:docLocation="table" r:id="rId23">
        <w:r>
          <w:rPr>
            <w:rStyle w:val="Hyperlink"/>
          </w:rPr>
          <w:t>562</w:t>
        </w:r>
      </w:hyperlink>
      <w:r>
        <w:t xml:space="preserve">), Sec. 26, eff. June 14, 2019.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1276 (H.B. </w:t>
      </w:r>
      <w:hyperlink w:docLocation="table" r:id="rId24">
        <w:r>
          <w:rPr>
            <w:rStyle w:val="Hyperlink"/>
          </w:rPr>
          <w:t>601</w:t>
        </w:r>
      </w:hyperlink>
      <w:r>
        <w:t xml:space="preserve">), Sec. 23, eff. September 1,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1R/billtext/html/SB00643F.HTM" TargetMode="External" Id="rId14" /><Relationship Type="http://schemas.openxmlformats.org/officeDocument/2006/relationships/hyperlink" Target="http://capitol.texas.gov/tlodocs/83R/billtext/html/SB00152F.HTM" TargetMode="External" Id="rId15" /><Relationship Type="http://schemas.openxmlformats.org/officeDocument/2006/relationships/hyperlink" Target="http://capitol.texas.gov/tlodocs/84R/billtext/html/SB00219F.HTM" TargetMode="External" Id="rId16" /><Relationship Type="http://schemas.openxmlformats.org/officeDocument/2006/relationships/hyperlink" Target="http://capitol.texas.gov/tlodocs/89R/billtext/html/HB00913F.HTM" TargetMode="External" Id="rId17" /><Relationship Type="http://schemas.openxmlformats.org/officeDocument/2006/relationships/hyperlink" Target="http://capitol.texas.gov/tlodocs/82R/billtext/html/SB00652F.HTM" TargetMode="External" Id="rId18" /><Relationship Type="http://schemas.openxmlformats.org/officeDocument/2006/relationships/hyperlink" Target="http://capitol.texas.gov/tlodocs/84R/billtext/html/SB00219F.HTM" TargetMode="External" Id="rId19" /><Relationship Type="http://schemas.openxmlformats.org/officeDocument/2006/relationships/hyperlink" Target="http://capitol.texas.gov/tlodocs/84R/billtext/html/SB00219F.HTM" TargetMode="External" Id="rId20" /><Relationship Type="http://schemas.openxmlformats.org/officeDocument/2006/relationships/hyperlink" Target="http://capitol.texas.gov/tlodocs/84R/billtext/html/SB00219F.HTM" TargetMode="External" Id="rId21" /><Relationship Type="http://schemas.openxmlformats.org/officeDocument/2006/relationships/hyperlink" Target="http://capitol.texas.gov/tlodocs/84R/billtext/html/SB01507F.HTM" TargetMode="External" Id="rId22" /><Relationship Type="http://schemas.openxmlformats.org/officeDocument/2006/relationships/hyperlink" Target="http://capitol.texas.gov/tlodocs/86R/billtext/html/SB00562F.HTM" TargetMode="External" Id="rId23" /><Relationship Type="http://schemas.openxmlformats.org/officeDocument/2006/relationships/hyperlink" Target="http://capitol.texas.gov/tlodocs/86R/billtext/html/HB00601F.HTM" TargetMode="External" Id="rId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