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7. MENTAL HEALTH AND INTELLECTUAL DISABILITY</w:t>
      </w:r>
    </w:p>
    <w:p w:rsidR="003F3435" w:rsidRDefault="0032493E">
      <w:pPr>
        <w:spacing w:line="480" w:lineRule="auto"/>
        <w:jc w:val="center"/>
      </w:pPr>
      <w:r>
        <w:t xml:space="preserve">SUBTITLE A.  SERVICES FOR PERSONS WITH MENTAL ILLNESS OR AN INTELLECTUAL DISABILITY</w:t>
      </w:r>
    </w:p>
    <w:p w:rsidR="003F3435" w:rsidRDefault="0032493E">
      <w:pPr>
        <w:spacing w:line="480" w:lineRule="auto"/>
        <w:jc w:val="center"/>
      </w:pPr>
      <w:r>
        <w:t xml:space="preserve">CHAPTER 532A. GENERAL PROVISIONS RELATING TO DEPARTMENT OF AGING AND DISABILITY SERVICES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532A.001.</w:t>
      </w:r>
      <w:r xml:space="preserve">
        <w:t> </w:t>
      </w:r>
      <w:r xml:space="preserve">
        <w:t> </w:t>
      </w:r>
      <w:r>
        <w:t xml:space="preserve">DEFINITIONS; INTELLECTUAL DISABILITY COMPONENTS OF DEPARTMENT.  (a)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"Commissioner" means the commissioner of aging and disability services.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"Department" means the Department of Aging and Disability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includes community services operated by the department and the following facilities: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central office of the department;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Abilene State Supported Living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Austin State Supported Living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Brenham State Supported Living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Corpus Christi State Supported Living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Denton State Supported Living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Lubbock State Supported Living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the Lufkin State Supported Living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the Mexia State Supported Living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the Richmond State Supported Living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the San Angelo State Supported Living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the San Antonio State Supported Living Center;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the El Paso State Supported Living Center.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 (S.B. </w:t>
      </w:r>
      <w:hyperlink w:docLocation="table" r:id="rId14">
        <w:r>
          <w:rPr>
            <w:rStyle w:val="Hyperlink"/>
          </w:rPr>
          <w:t>219</w:t>
        </w:r>
      </w:hyperlink>
      <w:r>
        <w:t xml:space="preserve">), Sec. 3.1334,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532A.002.</w:t>
      </w:r>
      <w:r xml:space="preserve">
        <w:t> </w:t>
      </w:r>
      <w:r xml:space="preserve">
        <w:t> </w:t>
      </w:r>
      <w:r>
        <w:t xml:space="preserve">MEDICAL DIRECTOR.  (a)</w:t>
      </w:r>
      <w:r xml:space="preserve">
        <w:t> </w:t>
      </w:r>
      <w:r xml:space="preserve">
        <w:t> </w:t>
      </w:r>
      <w:r>
        <w:t xml:space="preserve">The commissioner shall appoint a medical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be qualified for appointment as the medical director under this section, a person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be a physician licensed to practice in this state;</w:t>
      </w:r>
      <w:r xml:space="preserve">
        <w:t> </w:t>
      </w:r>
      <w:r xml:space="preserve">
        <w:t> </w:t>
      </w:r>
      <w:r>
        <w:t xml:space="preserve">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have proven administrative experience and ability in comprehensive health care or human service operations.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medical director reports to the commissioner and is responsible for the following duties under this title: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oversight of the quality and appropriateness of clinical services delivered in state supported living centers or under contract to the department in relation to intellectual disability services;</w:t>
      </w:r>
      <w:r xml:space="preserve">
        <w:t> </w:t>
      </w:r>
      <w:r xml:space="preserve">
        <w:t> </w:t>
      </w:r>
      <w:r>
        <w:t xml:space="preserve">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leadership in physician recruitment and retention and peer review.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 (S.B. </w:t>
      </w:r>
      <w:hyperlink w:docLocation="table" r:id="rId15">
        <w:r>
          <w:rPr>
            <w:rStyle w:val="Hyperlink"/>
          </w:rPr>
          <w:t>219</w:t>
        </w:r>
      </w:hyperlink>
      <w:r>
        <w:t xml:space="preserve">), Sec. 3.1334,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532A.003.</w:t>
      </w:r>
      <w:r xml:space="preserve">
        <w:t> </w:t>
      </w:r>
      <w:r xml:space="preserve">
        <w:t> </w:t>
      </w:r>
      <w:r>
        <w:t xml:space="preserve">HEADS OF STATE SUPPORTED LIVING CENTERS.  (a)</w:t>
      </w:r>
      <w:r xml:space="preserve">
        <w:t> </w:t>
      </w:r>
      <w:r xml:space="preserve">
        <w:t> </w:t>
      </w:r>
      <w:r>
        <w:t xml:space="preserve">The commissioner shall appoint the head of each state supported living center the department administers.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head of a state supported living center serves at the will of the commissioner.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 (S.B. </w:t>
      </w:r>
      <w:hyperlink w:docLocation="table" r:id="rId16">
        <w:r>
          <w:rPr>
            <w:rStyle w:val="Hyperlink"/>
          </w:rPr>
          <w:t>219</w:t>
        </w:r>
      </w:hyperlink>
      <w:r>
        <w:t xml:space="preserve">), Sec. 3.1334,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532A.004.</w:t>
      </w:r>
      <w:r xml:space="preserve">
        <w:t> </w:t>
      </w:r>
      <w:r xml:space="preserve">
        <w:t> </w:t>
      </w:r>
      <w:r>
        <w:t xml:space="preserve">ADVISORY COMMITTEES.  (a)</w:t>
      </w:r>
      <w:r xml:space="preserve">
        <w:t> </w:t>
      </w:r>
      <w:r xml:space="preserve">
        <w:t> </w:t>
      </w:r>
      <w:r>
        <w:t xml:space="preserve">The executive commissioner shall appoint any advisory committees the executive commissioner considers necessary to assist in the effective administration of the department's intellectual disability programs.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reimburse committee members for travel costs incurred in performing their duties as provided by Section </w:t>
      </w:r>
      <w:r>
        <w:t xml:space="preserve">2110.004</w:t>
      </w:r>
      <w:r>
        <w:t xml:space="preserve">, Government Code.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 (S.B. </w:t>
      </w:r>
      <w:hyperlink w:docLocation="table" r:id="rId17">
        <w:r>
          <w:rPr>
            <w:rStyle w:val="Hyperlink"/>
          </w:rPr>
          <w:t>219</w:t>
        </w:r>
      </w:hyperlink>
      <w:r>
        <w:t xml:space="preserve">), Sec. 3.1334, eff. April 2,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0219F.HTM" TargetMode="External" Id="rId14" /><Relationship Type="http://schemas.openxmlformats.org/officeDocument/2006/relationships/hyperlink" Target="http://capitol.texas.gov/tlodocs/84R/billtext/html/SB00219F.HTM" TargetMode="External" Id="rId15" /><Relationship Type="http://schemas.openxmlformats.org/officeDocument/2006/relationships/hyperlink" Target="http://capitol.texas.gov/tlodocs/84R/billtext/html/SB00219F.HTM" TargetMode="External" Id="rId16" /><Relationship Type="http://schemas.openxmlformats.org/officeDocument/2006/relationships/hyperlink" Target="http://capitol.texas.gov/tlodocs/84R/billtext/html/SB00219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