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B. STATE FACILITIES</w:t>
      </w:r>
    </w:p>
    <w:p w:rsidR="003F3435" w:rsidRDefault="0032493E">
      <w:pPr>
        <w:spacing w:line="480" w:lineRule="auto"/>
        <w:jc w:val="center"/>
      </w:pPr>
      <w:r>
        <w:t xml:space="preserve">CHAPTER 553.  SAN ANTONIO STATE SUPPORTED LIVING CENTER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553.022.</w:t>
      </w:r>
      <w:r xml:space="preserve">
        <w:t> </w:t>
      </w:r>
      <w:r xml:space="preserve">
        <w:t> </w:t>
      </w:r>
      <w:r>
        <w:t xml:space="preserve">SAN ANTONIO STATE SUPPORTED LIVING CENTER.  (a)</w:t>
      </w:r>
      <w:r xml:space="preserve">
        <w:t> </w:t>
      </w:r>
      <w:r xml:space="preserve">
        <w:t> </w:t>
      </w:r>
      <w:r>
        <w:t xml:space="preserve">The San Antonio State Supported Living Center is for the education, care, and treatment of persons with an intellectual disability.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of Aging and Disability Services may enter into agreements with the Department of State Health Services for use of the excess facilities of a public health hospital as defined by Section </w:t>
      </w:r>
      <w:r>
        <w:t xml:space="preserve">13.033</w:t>
      </w:r>
      <w:r>
        <w:t xml:space="preserve"> in the operation of the state supported living center.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107, Sec. 8,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3.1344, eff. April 2,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219F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