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9. SAFETY</w:t>
      </w:r>
    </w:p>
    <w:p w:rsidR="003F3435" w:rsidRDefault="0032493E">
      <w:pPr>
        <w:spacing w:line="480" w:lineRule="auto"/>
        <w:jc w:val="center"/>
      </w:pPr>
      <w:r>
        <w:t xml:space="preserve">SUBTITLE A. PUBLIC SAFETY</w:t>
      </w:r>
    </w:p>
    <w:p w:rsidR="003F3435" w:rsidRDefault="0032493E">
      <w:pPr>
        <w:spacing w:line="480" w:lineRule="auto"/>
        <w:jc w:val="center"/>
      </w:pPr>
      <w:r>
        <w:t xml:space="preserve">Chapter 769, consisting of Secs. 769.001 to 769.002, was added by Acts 2023, 88th Leg., R.S., Ch. 931 (S.B. </w:t>
      </w:r>
      <w:hyperlink w:docLocation="table" r:id="rId14">
        <w:r>
          <w:rPr>
            <w:rStyle w:val="Hyperlink"/>
          </w:rPr>
          <w:t>12</w:t>
        </w:r>
      </w:hyperlink>
      <w:r>
        <w:t xml:space="preserve">), Sec. 1.</w:t>
      </w:r>
    </w:p>
    <w:p w:rsidR="003F3435" w:rsidRDefault="0032493E">
      <w:pPr>
        <w:spacing w:line="480" w:lineRule="auto"/>
        <w:jc w:val="center"/>
      </w:pPr>
      <w:r>
        <w:t xml:space="preserve">For another Chapter 769, consisting of Secs. 769.001 to 769.003, added by Acts 2023, 88th Leg., R.S., Ch. 141 (S.B. </w:t>
      </w:r>
      <w:hyperlink w:docLocation="table" r:id="rId15">
        <w:r>
          <w:rPr>
            <w:rStyle w:val="Hyperlink"/>
          </w:rPr>
          <w:t>188</w:t>
        </w:r>
      </w:hyperlink>
      <w:r>
        <w:t xml:space="preserve">), Sec. 1, see Sec. 769.001 et seq., post.</w:t>
      </w:r>
    </w:p>
    <w:p w:rsidR="003F3435" w:rsidRDefault="0032493E">
      <w:pPr>
        <w:spacing w:line="480" w:lineRule="auto"/>
        <w:jc w:val="center"/>
      </w:pPr>
      <w:r>
        <w:t xml:space="preserve">CHAPTER 769.  SEXUALLY ORIENTED PERFORMANCES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769.001.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"Premises" has the meaning assigned by Section </w:t>
      </w:r>
      <w:r>
        <w:t xml:space="preserve">46.03</w:t>
      </w:r>
      <w:r>
        <w:t xml:space="preserve">, Penal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"Sexually oriented performance" has the meaning assigned by Section </w:t>
      </w:r>
      <w:r>
        <w:t xml:space="preserve">43.28</w:t>
      </w:r>
      <w:r>
        <w:t xml:space="preserve">, Penal Code.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931 (S.B. </w:t>
      </w:r>
      <w:hyperlink w:docLocation="table" r:id="rId16">
        <w:r>
          <w:rPr>
            <w:rStyle w:val="Hyperlink"/>
          </w:rPr>
          <w:t>12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769.002.</w:t>
      </w:r>
      <w:r xml:space="preserve">
        <w:t> </w:t>
      </w:r>
      <w:r xml:space="preserve">
        <w:t> </w:t>
      </w:r>
      <w:r>
        <w:t xml:space="preserve">CERTAIN SEXUALLY ORIENTED PERFORMANCES PROHIBITED ON PREMISES OF COMMERCIAL ENTERPRISE; CIVIL PENALTY; INJUNCTION.  (a)</w:t>
      </w:r>
      <w:r xml:space="preserve">
        <w:t> </w:t>
      </w:r>
      <w:r xml:space="preserve">
        <w:t> </w:t>
      </w:r>
      <w:r>
        <w:t xml:space="preserve">A person who controls the premises of a commercial enterprise may not allow a sexually oriented performance to be presented on the premises in the presence of an individual younger than 18 years of age.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who violates this section is liable to this state for a civil penalty of not more than $10,000 for each violation.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attorney general may bring an action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recover the civil penalty imposed under this section;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obtain a temporary or permanent injunction to restrain the violation.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An action under this section may be brought in a district court 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Travis County;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county in which any part of the violation occurs.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attorney general shall deposit a civil penalty collected under this section in the state treasury to the credit of the general revenue fund.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The attorney general may recover reasonable expenses incurred in bringing an action under this section, including court costs, attorney's fees, investigative costs, witness fees, and deposition expenses.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931 (S.B. </w:t>
      </w:r>
      <w:hyperlink w:docLocation="table" r:id="rId17">
        <w:r>
          <w:rPr>
            <w:rStyle w:val="Hyperlink"/>
          </w:rPr>
          <w:t>12</w:t>
        </w:r>
      </w:hyperlink>
      <w:r>
        <w:t xml:space="preserve">), Sec. 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0012F.HTM" TargetMode="External" Id="rId14" /><Relationship Type="http://schemas.openxmlformats.org/officeDocument/2006/relationships/hyperlink" Target="http://capitol.texas.gov/tlodocs/88R/billtext/html/SB00188F.HTM" TargetMode="External" Id="rId15" /><Relationship Type="http://schemas.openxmlformats.org/officeDocument/2006/relationships/hyperlink" Target="http://capitol.texas.gov/tlodocs/88R/billtext/html/SB00012F.HTM" TargetMode="External" Id="rId16" /><Relationship Type="http://schemas.openxmlformats.org/officeDocument/2006/relationships/hyperlink" Target="http://capitol.texas.gov/tlodocs/88R/billtext/html/SB00012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