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9. SAFETY</w:t>
      </w:r>
    </w:p>
    <w:p w:rsidR="003F3435" w:rsidRDefault="0032493E">
      <w:pPr>
        <w:spacing w:line="480" w:lineRule="auto"/>
        <w:jc w:val="center"/>
      </w:pPr>
      <w:r>
        <w:t xml:space="preserve">SUBTITLE C. FIRE</w:t>
      </w:r>
    </w:p>
    <w:p w:rsidR="003F3435" w:rsidRDefault="0032493E">
      <w:pPr>
        <w:spacing w:line="480" w:lineRule="auto"/>
        <w:jc w:val="center"/>
      </w:pPr>
      <w:r>
        <w:t xml:space="preserve">CHAPTER 793. DISABLING FIRE EXIT ALARMS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793.001.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"Fire exit" means a door, window, or other means of egress from a building that has been expressly designated as a fire escape or emergency exit by a sign, light, or other device located on or in the immediate vicinity of the fire escape or exit.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"Fire exit alarm" means a device designed to sound an alarm when a fire exit is opened or an attempt to open a fire exit is made.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793.002.</w:t>
      </w:r>
      <w:r xml:space="preserve">
        <w:t> </w:t>
      </w:r>
      <w:r xml:space="preserve">
        <w:t> </w:t>
      </w:r>
      <w:r>
        <w:t xml:space="preserve">CRIMINAL PENALTY.  (a)  A person commits an offense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person intentionally or knowingly causes a fire exit alarm to fail to sound an alarm;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 is not authorized to do so by a person having lawful custody or control of the building or the part of the building in which the fire exit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Class A misdemeanor.</w:t>
      </w:r>
    </w:p>
    <w:p w:rsidR="003F3435" w:rsidRDefault="0032493E">
      <w:pPr>
        <w:spacing w:line="480" w:lineRule="auto"/>
        <w:jc w:val="both"/>
      </w:pPr>
      <w:r>
        <w:t xml:space="preserve">Acts 1989, 71st Leg., ch. 678, Sec. 1, eff. Sept. 1, 1989.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