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10. HEALTH AND SAFETY OF ANIMALS</w:t>
      </w:r>
    </w:p>
    <w:p w:rsidR="003F3435" w:rsidRDefault="0032493E">
      <w:pPr>
        <w:spacing w:line="480" w:lineRule="auto"/>
        <w:jc w:val="center"/>
      </w:pPr>
      <w:r>
        <w:t xml:space="preserve">CHAPTER 824. KENNELS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824.001.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"Fire protection sprinkler system" has the meaning assigned by Section </w:t>
      </w:r>
      <w:r>
        <w:t xml:space="preserve">766.051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"Kennel" means a facility, including a veterinary medicine clinic, that provides boarding and related services to dogs or cats for breeding, sheltering, training, hunting, or similar purposes in exchange for compensation or other consideration.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294 (H.B. </w:t>
      </w:r>
      <w:hyperlink w:docLocation="table" r:id="rId14">
        <w:r>
          <w:rPr>
            <w:rStyle w:val="Hyperlink"/>
          </w:rPr>
          <w:t>2063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824.002.</w:t>
      </w:r>
      <w:r xml:space="preserve">
        <w:t> </w:t>
      </w:r>
      <w:r xml:space="preserve">
        <w:t> </w:t>
      </w:r>
      <w:r>
        <w:t xml:space="preserve">EXCEPTIONS TO APPLICABILITY OF CHAPTER.</w:t>
      </w:r>
      <w:r xml:space="preserve">
        <w:t> </w:t>
      </w:r>
      <w:r xml:space="preserve">
        <w:t> </w:t>
      </w:r>
      <w: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animal shelter as defined by Chapter </w:t>
      </w:r>
      <w:r>
        <w:t xml:space="preserve">823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kennel that boards not more than three dogs or cats at any time.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294 (H.B. </w:t>
      </w:r>
      <w:hyperlink w:docLocation="table" r:id="rId15">
        <w:r>
          <w:rPr>
            <w:rStyle w:val="Hyperlink"/>
          </w:rPr>
          <w:t>2063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824.003.</w:t>
      </w:r>
      <w:r xml:space="preserve">
        <w:t> </w:t>
      </w:r>
      <w:r xml:space="preserve">
        <w:t> </w:t>
      </w:r>
      <w:r>
        <w:t xml:space="preserve">REQUIRED INFORMED CONSENT FOR BOARDING OR PROVIDING SERVICES TO DOG OR CAT TO BE LEFT UNATTENDED.</w:t>
      </w:r>
      <w:r xml:space="preserve">
        <w:t> </w:t>
      </w:r>
      <w:r xml:space="preserve">
        <w:t> </w:t>
      </w:r>
      <w:r>
        <w:t xml:space="preserve">A kennel owner or operator who is boarding or providing services to a dog or cat at the kennel may not leave the dog or cat unattended without an employee present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kennel owner or operator provides to the owner of the dog or cat written notice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dog or cat will be left unattended at the kennel without an employee present during the hours specified in the notice;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kennel is not equipped with a functioning fire protection sprinkler system, the facility does not have a fire protection sprinkler system;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owner of the dog or cat provides to the kennel owner or operator a signed document consenting to the dog or cat being left unattended as provided in the notice.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294 (H.B. </w:t>
      </w:r>
      <w:hyperlink w:docLocation="table" r:id="rId16">
        <w:r>
          <w:rPr>
            <w:rStyle w:val="Hyperlink"/>
          </w:rPr>
          <w:t>2063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824.004.</w:t>
      </w:r>
      <w:r xml:space="preserve">
        <w:t> </w:t>
      </w:r>
      <w:r xml:space="preserve">
        <w:t> </w:t>
      </w:r>
      <w:r>
        <w:t xml:space="preserve">CIVIL PENALTY.  (a)</w:t>
      </w:r>
      <w:r xml:space="preserve">
        <w:t> </w:t>
      </w:r>
      <w:r xml:space="preserve">
        <w:t> </w:t>
      </w:r>
      <w:r>
        <w:t xml:space="preserve">A kennel owner or operator who violates Section </w:t>
      </w:r>
      <w:r>
        <w:t xml:space="preserve">824.003</w:t>
      </w:r>
      <w:r>
        <w:t xml:space="preserve"> is liable for a civil penalty in an amount equal to $500 for each animal subject to the violation and for each day the violation continues.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attorney general or the appropriate district or county attorney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bring an action on behalf of this state to collect the civil penalty under this section;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recover attorney's fees and costs incurred in bringing the action.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294 (H.B. </w:t>
      </w:r>
      <w:hyperlink w:docLocation="table" r:id="rId17">
        <w:r>
          <w:rPr>
            <w:rStyle w:val="Hyperlink"/>
          </w:rPr>
          <w:t>2063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063F.HTM" TargetMode="External" Id="rId14" /><Relationship Type="http://schemas.openxmlformats.org/officeDocument/2006/relationships/hyperlink" Target="http://capitol.texas.gov/tlodocs/88R/billtext/html/HB02063F.HTM" TargetMode="External" Id="rId15" /><Relationship Type="http://schemas.openxmlformats.org/officeDocument/2006/relationships/hyperlink" Target="http://capitol.texas.gov/tlodocs/88R/billtext/html/HB02063F.HTM" TargetMode="External" Id="rId16" /><Relationship Type="http://schemas.openxmlformats.org/officeDocument/2006/relationships/hyperlink" Target="http://capitol.texas.gov/tlodocs/88R/billtext/html/HB02063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