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7. LIFE INSURANCE AND ANNUITIES</w:t>
      </w:r>
    </w:p>
    <w:p w:rsidR="003F3435" w:rsidRDefault="0032493E">
      <w:pPr>
        <w:spacing w:line="480" w:lineRule="auto"/>
        <w:jc w:val="center"/>
      </w:pPr>
      <w:r>
        <w:t xml:space="preserve">SUBTITLE A. LIFE INSURANCE IN GENERAL</w:t>
      </w:r>
    </w:p>
    <w:p w:rsidR="003F3435" w:rsidRDefault="0032493E">
      <w:pPr>
        <w:spacing w:line="480" w:lineRule="auto"/>
        <w:jc w:val="center"/>
      </w:pPr>
      <w:r>
        <w:t xml:space="preserve">CHAPTER 1111.  ACCELERATED TERM LIFE INSURANCE BENEFITS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ACCELERATED TERM LIFE INSURANCE BENEFITS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1111.051.</w:t>
      </w:r>
      <w:r xml:space="preserve">
        <w:t> </w:t>
      </w:r>
      <w:r xml:space="preserve">
        <w:t> </w:t>
      </w:r>
      <w: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"Accelerated benefit" means a benefit paid to an insured instead of a portion of a death benefit.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"Death benefit" means a benefit payable to a beneficiary on the death of an insured.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"Long-term care illness" means an illness or physical condition that results in the inability to perform the activities of daily life or the substantial and material duties of any occupation.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"Terminal illness" means an illness or physical condition, including a physical injury, that can reasonably be expected to result in death within not more than two years.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2,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1111.052.</w:t>
      </w:r>
      <w:r xml:space="preserve">
        <w:t> </w:t>
      </w:r>
      <w:r xml:space="preserve">
        <w:t> </w:t>
      </w:r>
      <w:r>
        <w:t xml:space="preserve">AUTHORITY TO PAY ACCELERATED TERM LIFE BENEFITS.  An insurer may pay an accelerated benefit under an individual or group term life insurance policy or certificate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insurer has received a written medical opinion, satisfactory to the insurer, that the insured has: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terminal illness;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long-term care illness;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illness or physical condition that is likely to cause permanent disability or premature death, including: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acquired immune deficiency syndrome (AIDS);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a malignant tumor;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a condition that requires an organ transplant; 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a coronary artery disease that results in acute infarction or requires surgery;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amount of the accelerated benefit is deducted from: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amount of the death benefit payable under the policy or certificate;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any amount the insured would otherwise be entitled to convert to an individual contract.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2, eff. June 1, 2003.  Amended by Acts 2003, 78th Leg., ch. 1276, Sec. 10A.302,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1111.053.</w:t>
      </w:r>
      <w:r xml:space="preserve">
        <w:t> </w:t>
      </w:r>
      <w:r xml:space="preserve">
        <w:t> </w:t>
      </w:r>
      <w:r>
        <w:t xml:space="preserve">RULES.  The commissioner may adopt rules to implement this subchapter.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2, eff. June 1, 2003.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