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7. LIFE INSURANCE AND ANNUITIES</w:t>
      </w:r>
    </w:p>
    <w:p w:rsidR="003F3435" w:rsidRDefault="0032493E">
      <w:pPr>
        <w:spacing w:line="480" w:lineRule="auto"/>
        <w:jc w:val="center"/>
      </w:pPr>
      <w:r>
        <w:t xml:space="preserve">SUBTITLE C. SPECIALIZED COVERAGES</w:t>
      </w:r>
    </w:p>
    <w:p w:rsidR="003F3435" w:rsidRDefault="0032493E">
      <w:pPr>
        <w:spacing w:line="480" w:lineRule="auto"/>
        <w:jc w:val="center"/>
      </w:pPr>
      <w:r>
        <w:t xml:space="preserve">CHAPTER 1154.  FUNDING AGREEMENTS, GUARANTEED INVESTMENT CONTRACTS, AND SYNTHETIC GUARANTEED INVESTMENT CONTRACTS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1154.001.</w:t>
      </w:r>
      <w:r xml:space="preserve">
        <w:t> </w:t>
      </w:r>
      <w:r xml:space="preserve">
        <w:t> </w:t>
      </w:r>
      <w:r>
        <w:t xml:space="preserve">SHORT TITLE.</w:t>
      </w:r>
      <w:r xml:space="preserve">
        <w:t> </w:t>
      </w:r>
      <w:r xml:space="preserve">
        <w:t> </w:t>
      </w:r>
      <w:r>
        <w:t xml:space="preserve">This chapter may be cited as the Act for the Regulation of Funding Agreements, Guaranteed Investment Contracts, and Synthetic Guaranteed Investment Contracts.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1187 (S.B. </w:t>
      </w:r>
      <w:hyperlink w:docLocation="table" r:id="rId14">
        <w:r>
          <w:rPr>
            <w:rStyle w:val="Hyperlink"/>
          </w:rPr>
          <w:t>1196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1154.002.</w:t>
      </w:r>
      <w:r xml:space="preserve">
        <w:t> </w:t>
      </w:r>
      <w:r xml:space="preserve">
        <w:t> </w:t>
      </w:r>
      <w:r>
        <w:t xml:space="preserve">PURPOSE; LEGISLATIVE INTENT; CONSTRUCTION.  (a)</w:t>
      </w:r>
      <w:r xml:space="preserve">
        <w:t> </w:t>
      </w:r>
      <w:r xml:space="preserve">
        <w:t> </w:t>
      </w:r>
      <w:r>
        <w:t xml:space="preserve">The purpose of this chapter is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promote the public welfare by regulating funding agreements, guaranteed investment contracts, and synthetic guaranteed investment contracts;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clarify and codify the existing law pertaining to funding agreements, guaranteed investment contracts, and synthetic guaranteed investment contracts.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chapter shall be liberally construed.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1187 (S.B. </w:t>
      </w:r>
      <w:hyperlink w:docLocation="table" r:id="rId15">
        <w:r>
          <w:rPr>
            <w:rStyle w:val="Hyperlink"/>
          </w:rPr>
          <w:t>1196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1154.003.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"Annuity contract" means a contract, including a funding agreement, guaranteed investment contract, and synthetic guaranteed investment contract, issued by a life insurer, with or without a mortality or morbidity contingency, under which: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owner deposits cash or assets in one or more installments with the life insurer;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owner or a beneficiary designated by the owner has a right to receive periodic payments for a specified future term.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"Funding agreement" means a type of annuity contract under which a life insurer: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accepts and accumulates funds, including noncash assets;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makes one or more payments at a future date in amounts that are not based on mortality or morbidity contingencies.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"Governmental body" means a federal, state, municipal, local, or foreign court, tribunal, governmental department, commission, board, bureau, agency, authority, instrumentality, regulatory body, or quasi-regulatory body.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"Group" means a group to which a group life insurance policy may be issued under Subchapter </w:t>
      </w:r>
      <w:r>
        <w:t xml:space="preserve">B</w:t>
      </w:r>
      <w:r>
        <w:t xml:space="preserve">, Chapter </w:t>
      </w:r>
      <w:r>
        <w:t xml:space="preserve">1131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"Group annuity contract" means an annuity contract issued to a group and not an individual.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"Guaranteed investment contract" means a type of annuity contract issued by a life insurer: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that is a funding vehicle typically issued to a retirement plan;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under which the life insurer accepts a deposit or series of deposits from the purchaser and guarantees to pay a specified interest rate of return on the funds deposited during a specified period.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"Life insurer" means an insurance company authorized to engage in the business of life insurance, including issuing annuity contracts, in this state.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"Synthetic guaranteed investment contract" means a group annuity contract or other agreement issued by a life insurer that, wholly or partly, establishes the life insurer's obligations by reference to a segregated portfolio of assets that the life insurer does not own. 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1187 (S.B. </w:t>
      </w:r>
      <w:hyperlink w:docLocation="table" r:id="rId16">
        <w:r>
          <w:rPr>
            <w:rStyle w:val="Hyperlink"/>
          </w:rPr>
          <w:t>1196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1154.004.</w:t>
      </w:r>
      <w:r xml:space="preserve">
        <w:t> </w:t>
      </w:r>
      <w:r xml:space="preserve">
        <w:t> </w:t>
      </w:r>
      <w:r>
        <w:t xml:space="preserve">APPLICABILITY OF CERTAIN OTHER LAW.</w:t>
      </w:r>
      <w:r xml:space="preserve">
        <w:t> </w:t>
      </w:r>
      <w:r xml:space="preserve">
        <w:t> </w:t>
      </w:r>
      <w:r>
        <w:t xml:space="preserve">Chapters </w:t>
      </w:r>
      <w:r>
        <w:t xml:space="preserve">521</w:t>
      </w:r>
      <w:r>
        <w:t xml:space="preserve">, </w:t>
      </w:r>
      <w:r>
        <w:t xml:space="preserve">1107</w:t>
      </w:r>
      <w:r>
        <w:t xml:space="preserve">, </w:t>
      </w:r>
      <w:r>
        <w:t xml:space="preserve">1115</w:t>
      </w:r>
      <w:r>
        <w:t xml:space="preserve">, and </w:t>
      </w:r>
      <w:r>
        <w:t xml:space="preserve">1131</w:t>
      </w:r>
      <w:r>
        <w:t xml:space="preserve"> do not apply to funding agreements, guaranteed investment contracts, or synthetic guaranteed investment contracts without mortality or morbidity contingencies. 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1187 (S.B. </w:t>
      </w:r>
      <w:hyperlink w:docLocation="table" r:id="rId17">
        <w:r>
          <w:rPr>
            <w:rStyle w:val="Hyperlink"/>
          </w:rPr>
          <w:t>1196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1154.005.</w:t>
      </w:r>
      <w:r xml:space="preserve">
        <w:t> </w:t>
      </w:r>
      <w:r xml:space="preserve">
        <w:t> </w:t>
      </w:r>
      <w:r>
        <w:t xml:space="preserve">RULES.</w:t>
      </w:r>
      <w:r xml:space="preserve">
        <w:t> </w:t>
      </w:r>
      <w:r xml:space="preserve">
        <w:t> </w:t>
      </w:r>
      <w:r>
        <w:t xml:space="preserve">The commissioner may adopt rules to implement or clarify this chapter.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1187 (S.B. </w:t>
      </w:r>
      <w:hyperlink w:docLocation="table" r:id="rId18">
        <w:r>
          <w:rPr>
            <w:rStyle w:val="Hyperlink"/>
          </w:rPr>
          <w:t>1196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FUNDING AGREEMENTS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1154.051.</w:t>
      </w:r>
      <w:r xml:space="preserve">
        <w:t> </w:t>
      </w:r>
      <w:r xml:space="preserve">
        <w:t> </w:t>
      </w:r>
      <w:r>
        <w:t xml:space="preserve">ESTABLISHMENT OF FUNDING AGREEMENTS.  (a)</w:t>
      </w:r>
      <w:r xml:space="preserve">
        <w:t> </w:t>
      </w:r>
      <w:r xml:space="preserve">
        <w:t> </w:t>
      </w:r>
      <w:r>
        <w:t xml:space="preserve">A life insurer may issue a funding agreement to generate an income stream for the purchaser of the agreement or fund a future liability or program of the purchaser or the purchaser's designee.</w:t>
      </w:r>
      <w:r xml:space="preserve">
        <w:t> </w:t>
      </w:r>
      <w:r xml:space="preserve">
        <w:t> </w:t>
      </w:r>
      <w:r>
        <w:t xml:space="preserve">A life insurer may issue a funding agreement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accredited investor, as defined by 17 C.F.R. Section 230.501;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governmental body;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institution with assets in excess of $25 million.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life insurer that issues a funding agreement in this state engages in the business of insurance for the purpose of regulation.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1187 (S.B. </w:t>
      </w:r>
      <w:hyperlink w:docLocation="table" r:id="rId19">
        <w:r>
          <w:rPr>
            <w:rStyle w:val="Hyperlink"/>
          </w:rPr>
          <w:t>1196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GUARANTEED INVESTMENT CONTRACTS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1154.101.</w:t>
      </w:r>
      <w:r xml:space="preserve">
        <w:t> </w:t>
      </w:r>
      <w:r xml:space="preserve">
        <w:t> </w:t>
      </w:r>
      <w:r>
        <w:t xml:space="preserve">ESTABLISHMENT OF GUARANTEED INVESTMENT CONTRACTS.</w:t>
      </w:r>
      <w:r xml:space="preserve">
        <w:t> </w:t>
      </w:r>
      <w:r xml:space="preserve">
        <w:t> </w:t>
      </w:r>
      <w:r>
        <w:t xml:space="preserve">A life insurer may issue a guaranteed investment contract to provide a benefit in a fixed amount or a variable amount or a fixed amount and a variable amount.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1187 (S.B. </w:t>
      </w:r>
      <w:hyperlink w:docLocation="table" r:id="rId20">
        <w:r>
          <w:rPr>
            <w:rStyle w:val="Hyperlink"/>
          </w:rPr>
          <w:t>1196</w:t>
        </w:r>
      </w:hyperlink>
      <w:r>
        <w:t xml:space="preserve">), Sec. 2,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96F.HTM" TargetMode="External" Id="rId14" /><Relationship Type="http://schemas.openxmlformats.org/officeDocument/2006/relationships/hyperlink" Target="http://capitol.texas.gov/tlodocs/84R/billtext/html/SB01196F.HTM" TargetMode="External" Id="rId15" /><Relationship Type="http://schemas.openxmlformats.org/officeDocument/2006/relationships/hyperlink" Target="http://capitol.texas.gov/tlodocs/84R/billtext/html/SB01196F.HTM" TargetMode="External" Id="rId16" /><Relationship Type="http://schemas.openxmlformats.org/officeDocument/2006/relationships/hyperlink" Target="http://capitol.texas.gov/tlodocs/84R/billtext/html/SB01196F.HTM" TargetMode="External" Id="rId17" /><Relationship Type="http://schemas.openxmlformats.org/officeDocument/2006/relationships/hyperlink" Target="http://capitol.texas.gov/tlodocs/84R/billtext/html/SB01196F.HTM" TargetMode="External" Id="rId18" /><Relationship Type="http://schemas.openxmlformats.org/officeDocument/2006/relationships/hyperlink" Target="http://capitol.texas.gov/tlodocs/84R/billtext/html/SB01196F.HTM" TargetMode="External" Id="rId19" /><Relationship Type="http://schemas.openxmlformats.org/officeDocument/2006/relationships/hyperlink" Target="http://capitol.texas.gov/tlodocs/84R/billtext/html/SB0119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