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1208. IDENTITY OF AVAILABLE EMPLOYEE OF HEALTH BENEFIT PLAN ISSUER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1208.001.</w:t>
      </w:r>
      <w:r xml:space="preserve">
        <w:t> </w:t>
      </w:r>
      <w:r xml:space="preserve">
        <w:t> </w:t>
      </w:r>
      <w:r>
        <w:t xml:space="preserve">APPLICABILITY OF CHAPTER.  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1208.002.</w:t>
      </w:r>
      <w:r xml:space="preserve">
        <w:t> </w:t>
      </w:r>
      <w:r xml:space="preserve">
        <w:t> </w:t>
      </w:r>
      <w:r>
        <w:t xml:space="preserve">DISCLOSURE REQUIRED.  After an oral or written request by an insured or enrollee of a health benefit plan, the plan issuer shall provide to the insured or enrollee the name or employee identifier of the issuer's employee who is available to respond to questions or other communication from the insured or enrollee relating to coverage and benefits provided under the plan to the insured or enrollee.  The issuer shall also provide:</w:t>
      </w:r>
    </w:p>
    <w:p w:rsidR="003F3435" w:rsidRDefault="0032493E">
      <w:pPr>
        <w:spacing w:line="480" w:lineRule="auto"/>
        <w:ind w:firstLine="1440"/>
        <w:jc w:val="both"/>
      </w:pPr>
      <w:r>
        <w:t xml:space="preserve">(1)</w:t>
      </w:r>
      <w:r xml:space="preserve">
        <w:t> </w:t>
      </w:r>
      <w:r xml:space="preserve">
        <w:t> </w:t>
      </w:r>
      <w:r>
        <w:t xml:space="preserve">the employee's mailing address;</w:t>
      </w:r>
    </w:p>
    <w:p w:rsidR="003F3435" w:rsidRDefault="0032493E">
      <w:pPr>
        <w:spacing w:line="480" w:lineRule="auto"/>
        <w:ind w:firstLine="1440"/>
        <w:jc w:val="both"/>
      </w:pPr>
      <w:r>
        <w:t xml:space="preserve">(2)</w:t>
      </w:r>
      <w:r xml:space="preserve">
        <w:t> </w:t>
      </w:r>
      <w:r xml:space="preserve">
        <w:t> </w:t>
      </w:r>
      <w:r>
        <w:t xml:space="preserve">the municipality and state of the employee's business location;  and</w:t>
      </w:r>
    </w:p>
    <w:p w:rsidR="003F3435" w:rsidRDefault="0032493E">
      <w:pPr>
        <w:spacing w:line="480" w:lineRule="auto"/>
        <w:ind w:firstLine="1440"/>
        <w:jc w:val="both"/>
      </w:pPr>
      <w:r>
        <w:t xml:space="preserve">(3)</w:t>
      </w:r>
      <w:r xml:space="preserve">
        <w:t> </w:t>
      </w:r>
      <w:r xml:space="preserve">
        <w:t> </w:t>
      </w:r>
      <w:r>
        <w:t xml:space="preserve">the employee's job title.</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