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A. HEALTH COVERAGE IN GENERAL</w:t>
      </w:r>
    </w:p>
    <w:p w:rsidR="003F3435" w:rsidRDefault="0032493E">
      <w:pPr>
        <w:spacing w:line="480" w:lineRule="auto"/>
        <w:jc w:val="center"/>
      </w:pPr>
      <w:r>
        <w:t xml:space="preserve">CHAPTER 1213.  ELECTRONIC HEALTH CARE TRANSACTIONS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1213.001.</w:t>
      </w:r>
      <w:r xml:space="preserve">
        <w:t> </w:t>
      </w:r>
      <w:r xml:space="preserve">
        <w:t> </w:t>
      </w:r>
      <w:r>
        <w:t xml:space="preserve">DEFINITION OF HEALTH BENEFIT PLAN.  (a)  In this chapter, "health benefit plan" means a plan that provides benefits for medical, surgical, or other treatment expenses incurred as a result of a health condition, a mental health condition, an accident, sickness, or substance abuse, including an individual, group, blanket, or franchise insurance policy or insurance agreement, a group hospital service contract, or an individual or group evidence of coverage or similar coverage document that is offered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fraternal benefit society operating under Chapter </w:t>
      </w:r>
      <w:r>
        <w:t xml:space="preserve">885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stipulated premium insurance company operating under Chapter </w:t>
      </w:r>
      <w:r>
        <w:t xml:space="preserve">884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Lloyd's plan operating under Chapter </w:t>
      </w:r>
      <w:r>
        <w:t xml:space="preserve">941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an exchange operating under Chapter </w:t>
      </w:r>
      <w:r>
        <w:t xml:space="preserve">942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multiple employer welfare arrangement that holds a certificate of authority under Chapter </w:t>
      </w:r>
      <w:r>
        <w:t xml:space="preserve">846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an approved nonprofit health corporation that holds a certificate of authority under Chapter </w:t>
      </w:r>
      <w:r>
        <w:t xml:space="preserve">844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term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small employer health benefit plan written under Chapter </w:t>
      </w:r>
      <w:r>
        <w:t xml:space="preserve">1501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health benefit plan offered under Chapter </w:t>
      </w:r>
      <w:r>
        <w:t xml:space="preserve">1551</w:t>
      </w:r>
      <w:r>
        <w:t xml:space="preserve">, </w:t>
      </w:r>
      <w:r>
        <w:t xml:space="preserve">1575</w:t>
      </w:r>
      <w:r>
        <w:t xml:space="preserve">, </w:t>
      </w:r>
      <w:r>
        <w:t xml:space="preserve">1579</w:t>
      </w:r>
      <w:r>
        <w:t xml:space="preserve">, or </w:t>
      </w:r>
      <w:r>
        <w:t xml:space="preserve">1601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728 (H.B. </w:t>
      </w:r>
      <w:hyperlink w:docLocation="table" r:id="rId14">
        <w:r>
          <w:rPr>
            <w:rStyle w:val="Hyperlink"/>
          </w:rPr>
          <w:t>2018</w:t>
        </w:r>
      </w:hyperlink>
      <w:r>
        <w:t xml:space="preserve">), Sec. 11.029(a),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1213.002.</w:t>
      </w:r>
      <w:r xml:space="preserve">
        <w:t> </w:t>
      </w:r>
      <w:r xml:space="preserve">
        <w:t> </w:t>
      </w:r>
      <w:r>
        <w:t xml:space="preserve">ELECTRONIC SUBMISSION OF CLAIMS.  (a)  The issuer of a health benefit plan by contract may require that a health care professional licensed or registered under the Occupations Code or a health care facility licensed under the Health and Safety Code electronically submit a health care claim or equivalent encounter information, a referral certification, or an authorization or eligibility transaction.</w:t>
      </w:r>
      <w:r xml:space="preserve">
        <w:t> </w:t>
      </w:r>
      <w:r xml:space="preserve">
        <w:t> </w:t>
      </w:r>
      <w:r>
        <w:t xml:space="preserve">The health benefit plan issuer shall comply with the standards for electronic transactions required by this section and established by the commissioner by rule.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issuer of a health benefit plan by contract shall establish a default method to submit claims in a nonelectronic format if there is a system failure or failures or a catastrophic event substantially interferes with the normal business operations of the physician, provider, or health benefit plan or its agents.</w:t>
      </w:r>
      <w:r xml:space="preserve">
        <w:t> </w:t>
      </w:r>
      <w:r xml:space="preserve">
        <w:t> </w:t>
      </w:r>
      <w:r>
        <w:t xml:space="preserve">The health benefit plan issuer shall comply with the standards for nonelectronic transactions established by the commissioner by rule.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728 (H.B. </w:t>
      </w:r>
      <w:hyperlink w:docLocation="table" r:id="rId15">
        <w:r>
          <w:rPr>
            <w:rStyle w:val="Hyperlink"/>
          </w:rPr>
          <w:t>2018</w:t>
        </w:r>
      </w:hyperlink>
      <w:r>
        <w:t xml:space="preserve">), Sec. 11.029(a),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1213.003.</w:t>
      </w:r>
      <w:r xml:space="preserve">
        <w:t> </w:t>
      </w:r>
      <w:r xml:space="preserve">
        <w:t> </w:t>
      </w:r>
      <w:r>
        <w:t xml:space="preserve">ELECTRONIC SUBMISSION OF CLAIMS: WAIVER.  (a)  A contract between the issuer of a health benefit plan and a health care professional or health care facility must provide for a waiver of any requirement for electronic submission established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shall establish circumstances under which a waiver is required,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circumstances in which no method is available for the submission of claims in electronic form;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operation of small physician practices;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operation of other small health care provider practices;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undue hardship, including fiscal or operational hardship;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any other special circumstance that would justify a waiver.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Any health care professional or health care facility that is denied a waiver by the issuer of a health benefit plan may appeal the denial to the commissioner.</w:t>
      </w:r>
      <w:r xml:space="preserve">
        <w:t> </w:t>
      </w:r>
      <w:r xml:space="preserve">
        <w:t> </w:t>
      </w:r>
      <w:r>
        <w:t xml:space="preserve">The commissioner shall determine whether a waiver must be granted.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issuer of a health benefit plan may not refuse to contract or renew a contract with a health care professional or health care facility based in whole or in part on the professional or facility requesting or receiving a waiver or appealing a waiver determination.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728 (H.B. </w:t>
      </w:r>
      <w:hyperlink w:docLocation="table" r:id="rId16">
        <w:r>
          <w:rPr>
            <w:rStyle w:val="Hyperlink"/>
          </w:rPr>
          <w:t>2018</w:t>
        </w:r>
      </w:hyperlink>
      <w:r>
        <w:t xml:space="preserve">), Sec. 11.029(a),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1213.004.</w:t>
      </w:r>
      <w:r xml:space="preserve">
        <w:t> </w:t>
      </w:r>
      <w:r xml:space="preserve">
        <w:t> </w:t>
      </w:r>
      <w:r>
        <w:t xml:space="preserve">MODE OF TRANSMISSION.  The issuer of a health benefit plan may not by contract limit the mode of electronic transmission that a health care professional or health care facility may use to submit information under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728 (H.B. </w:t>
      </w:r>
      <w:hyperlink w:docLocation="table" r:id="rId17">
        <w:r>
          <w:rPr>
            <w:rStyle w:val="Hyperlink"/>
          </w:rPr>
          <w:t>2018</w:t>
        </w:r>
      </w:hyperlink>
      <w:r>
        <w:t xml:space="preserve">), Sec. 11.029(a),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1213.005.</w:t>
      </w:r>
      <w:r xml:space="preserve">
        <w:t> </w:t>
      </w:r>
      <w:r xml:space="preserve">
        <w:t> </w:t>
      </w:r>
      <w:r>
        <w:t xml:space="preserve">CERTAIN CHARGES PROHIBITED.  A health benefit plan may not directly or indirectly charge or hold a health care professional, health care facility, or person enrolled in a health benefit plan responsible for a fee for the adjudication of a claim.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728 (H.B. </w:t>
      </w:r>
      <w:hyperlink w:docLocation="table" r:id="rId18">
        <w:r>
          <w:rPr>
            <w:rStyle w:val="Hyperlink"/>
          </w:rPr>
          <w:t>2018</w:t>
        </w:r>
      </w:hyperlink>
      <w:r>
        <w:t xml:space="preserve">), Sec. 11.029(a),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1213.006.</w:t>
      </w:r>
      <w:r xml:space="preserve">
        <w:t> </w:t>
      </w:r>
      <w:r xml:space="preserve">
        <w:t> </w:t>
      </w:r>
      <w:r>
        <w:t xml:space="preserve">RULES.  The commissioner may adopt rules as necessary to implement this chapter.</w:t>
      </w:r>
      <w:r xml:space="preserve">
        <w:t> </w:t>
      </w:r>
      <w:r xml:space="preserve">
        <w:t> </w:t>
      </w:r>
      <w:r>
        <w:t xml:space="preserve">The commissioner may not require any data element for electronically filed claims that is not required to comply with federal law.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728 (H.B. </w:t>
      </w:r>
      <w:hyperlink w:docLocation="table" r:id="rId19">
        <w:r>
          <w:rPr>
            <w:rStyle w:val="Hyperlink"/>
          </w:rPr>
          <w:t>2018</w:t>
        </w:r>
      </w:hyperlink>
      <w:r>
        <w:t xml:space="preserve">), Sec. 11.029(a), eff. September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8F.HTM" TargetMode="External" Id="rId14" /><Relationship Type="http://schemas.openxmlformats.org/officeDocument/2006/relationships/hyperlink" Target="http://capitol.texas.gov/tlodocs/79R/billtext/html/HB02018F.HTM" TargetMode="External" Id="rId15" /><Relationship Type="http://schemas.openxmlformats.org/officeDocument/2006/relationships/hyperlink" Target="http://capitol.texas.gov/tlodocs/79R/billtext/html/HB02018F.HTM" TargetMode="External" Id="rId16" /><Relationship Type="http://schemas.openxmlformats.org/officeDocument/2006/relationships/hyperlink" Target="http://capitol.texas.gov/tlodocs/79R/billtext/html/HB02018F.HTM" TargetMode="External" Id="rId17" /><Relationship Type="http://schemas.openxmlformats.org/officeDocument/2006/relationships/hyperlink" Target="http://capitol.texas.gov/tlodocs/79R/billtext/html/HB02018F.HTM" TargetMode="External" Id="rId18" /><Relationship Type="http://schemas.openxmlformats.org/officeDocument/2006/relationships/hyperlink" Target="http://capitol.texas.gov/tlodocs/79R/billtext/html/HB02018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