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A. HEALTH COVERAGE IN GENERAL</w:t>
      </w:r>
    </w:p>
    <w:p w:rsidR="003F3435" w:rsidRDefault="0032493E">
      <w:pPr>
        <w:spacing w:line="480" w:lineRule="auto"/>
        <w:jc w:val="center"/>
      </w:pPr>
      <w:r>
        <w:t xml:space="preserve">CHAPTER 1222.  PREAUTHORIZATION FOR MEDICAL OR HEALTH CARE SERVICE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1222.0001.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benefit plan" means a plan to which this chapter applies under Section </w:t>
      </w:r>
      <w:r>
        <w:t xml:space="preserve">1222.0002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"Health benefit plan issuer" means an entity authorized under this code or another insurance law of this state that provides health insurance or health benefits in this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"Preauthorization" has the meaning assigned by Section </w:t>
      </w:r>
      <w:r>
        <w:t xml:space="preserve">1301.001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488 (H.B. </w:t>
      </w:r>
      <w:hyperlink w:docLocation="table" r:id="rId14">
        <w:r>
          <w:rPr>
            <w:rStyle w:val="Hyperlink"/>
          </w:rPr>
          <w:t>3041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1222.0002.</w:t>
      </w:r>
      <w:r xml:space="preserve">
        <w:t> </w:t>
      </w:r>
      <w:r xml:space="preserve">
        <w:t> </w:t>
      </w:r>
      <w:r>
        <w:t xml:space="preserve">APPLICABILITY OF CHAPTER.  (a)</w:t>
      </w:r>
      <w:r xml:space="preserve">
        <w:t> </w:t>
      </w:r>
      <w:r xml:space="preserve">
        <w:t> </w:t>
      </w:r>
      <w:r>
        <w:t xml:space="preserve">This 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issued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approved nonprofit health corporation that holds a certificate of authority under Chapter </w:t>
      </w:r>
      <w:r>
        <w:t xml:space="preserve">844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multiple employer welfare arrangement that holds a certificate of authority under Chapter </w:t>
      </w:r>
      <w:r>
        <w:t xml:space="preserve">846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fraternal benefit society operating under Chapter </w:t>
      </w:r>
      <w:r>
        <w:t xml:space="preserve">885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Lloyd's plan operating under Chapter </w:t>
      </w:r>
      <w:r>
        <w:t xml:space="preserve">941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an exchange operating under Chapter </w:t>
      </w:r>
      <w:r>
        <w:t xml:space="preserve">942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this chapter applies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small employer health benefit plan subject to Chapter </w:t>
      </w:r>
      <w:r>
        <w:t xml:space="preserve">1501</w:t>
      </w:r>
      <w:r>
        <w:t xml:space="preserve">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standard health benefit plan issued under Chapter </w:t>
      </w:r>
      <w:r>
        <w:t xml:space="preserve">1507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basic coverage plan under Chapter </w:t>
      </w:r>
      <w:r>
        <w:t xml:space="preserve">1551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basic plan under Chapter </w:t>
      </w:r>
      <w:r>
        <w:t xml:space="preserve">1575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primary care coverage plan under Chapter </w:t>
      </w:r>
      <w:r>
        <w:t xml:space="preserve">1579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plan providing basic coverage under Chapter </w:t>
      </w:r>
      <w:r>
        <w:t xml:space="preserve">1601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health benefits provided by or through a church benefits board under Subchapter </w:t>
      </w:r>
      <w:r>
        <w:t xml:space="preserve">I</w:t>
      </w:r>
      <w:r>
        <w:t xml:space="preserve">, Chapter </w:t>
      </w:r>
      <w:r>
        <w:t xml:space="preserve">22</w:t>
      </w:r>
      <w:r>
        <w:t xml:space="preserve">, Business Organizations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group health coverage made available by a school district in accordance with Section </w:t>
      </w:r>
      <w:r>
        <w:t xml:space="preserve">22.004</w:t>
      </w:r>
      <w:r>
        <w:t xml:space="preserve">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state Medicaid program, including the Medicaid managed care program operated under Chapters </w:t>
      </w:r>
      <w:r>
        <w:t xml:space="preserve">540</w:t>
      </w:r>
      <w:r>
        <w:t xml:space="preserve"> and </w:t>
      </w:r>
      <w:r>
        <w:t xml:space="preserve">540A</w:t>
      </w:r>
      <w:r>
        <w:t xml:space="preserve">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the child health plan program under Chapter </w:t>
      </w:r>
      <w:r>
        <w:t xml:space="preserve">62</w:t>
      </w:r>
      <w:r>
        <w:t xml:space="preserve">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regional or local health care program operated under Section </w:t>
      </w:r>
      <w:r>
        <w:t xml:space="preserve">75.104</w:t>
      </w:r>
      <w:r>
        <w:t xml:space="preserve">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self-funded health benefit plan sponsored by a professional employer organization under Chapter </w:t>
      </w:r>
      <w:r>
        <w:t xml:space="preserve">91</w:t>
      </w:r>
      <w:r>
        <w:t xml:space="preserve">, Labor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488 (H.B. </w:t>
      </w:r>
      <w:hyperlink w:docLocation="table" r:id="rId15">
        <w:r>
          <w:rPr>
            <w:rStyle w:val="Hyperlink"/>
          </w:rPr>
          <w:t>3041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769 (H.B. </w:t>
      </w:r>
      <w:hyperlink w:docLocation="table" r:id="rId16">
        <w:r>
          <w:rPr>
            <w:rStyle w:val="Hyperlink"/>
          </w:rPr>
          <w:t>4611</w:t>
        </w:r>
      </w:hyperlink>
      <w:r>
        <w:t xml:space="preserve">), Sec. 2.121, eff. April 1, 2025.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1222.0003.</w:t>
      </w:r>
      <w:r xml:space="preserve">
        <w:t> </w:t>
      </w:r>
      <w:r xml:space="preserve">
        <w:t> </w:t>
      </w:r>
      <w:r>
        <w:t xml:space="preserve">PREAUTHORIZATION RENEWAL REQUEST.</w:t>
      </w:r>
      <w:r xml:space="preserve">
        <w:t> </w:t>
      </w:r>
      <w:r xml:space="preserve">
        <w:t> </w:t>
      </w:r>
      <w:r>
        <w:t xml:space="preserve">A health benefit plan issuer that requires preauthorization as a condition of payment for a medical or health care service shall provide a preauthorization renewal process that allows a renewal of an existing preauthorization to be requested by a physician or health care provider at least 60 days before the date the preauthorization expires.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488 (H.B. </w:t>
      </w:r>
      <w:hyperlink w:docLocation="table" r:id="rId17">
        <w:r>
          <w:rPr>
            <w:rStyle w:val="Hyperlink"/>
          </w:rPr>
          <w:t>3041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1222.0004.</w:t>
      </w:r>
      <w:r xml:space="preserve">
        <w:t> </w:t>
      </w:r>
      <w:r xml:space="preserve">
        <w:t> </w:t>
      </w:r>
      <w:r>
        <w:t xml:space="preserve">DETERMINATION REQUIRED.</w:t>
      </w:r>
      <w:r xml:space="preserve">
        <w:t> </w:t>
      </w:r>
      <w:r xml:space="preserve">
        <w:t> </w:t>
      </w:r>
      <w:r>
        <w:t xml:space="preserve">If a health benefit plan issuer receives a preauthorization renewal request before the existing preauthorization expires, the health benefit plan issuer shall, if practicable, review the request and issue a determination indicating whether the medical or health care service is preauthorized before the existing preauthorization expires.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488 (H.B. </w:t>
      </w:r>
      <w:hyperlink w:docLocation="table" r:id="rId18">
        <w:r>
          <w:rPr>
            <w:rStyle w:val="Hyperlink"/>
          </w:rPr>
          <w:t>3041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3041F.HTM" TargetMode="External" Id="rId14" /><Relationship Type="http://schemas.openxmlformats.org/officeDocument/2006/relationships/hyperlink" Target="http://www.legis.state.tx.us/tlodocs/86R/billtext/html/HB03041F.HTM" TargetMode="External" Id="rId15" /><Relationship Type="http://schemas.openxmlformats.org/officeDocument/2006/relationships/hyperlink" Target="http://www.legis.state.tx.us/tlodocs/88R/billtext/html/HB04611F.HTM" TargetMode="External" Id="rId16" /><Relationship Type="http://schemas.openxmlformats.org/officeDocument/2006/relationships/hyperlink" Target="http://www.legis.state.tx.us/tlodocs/86R/billtext/html/HB03041F.HTM" TargetMode="External" Id="rId17" /><Relationship Type="http://schemas.openxmlformats.org/officeDocument/2006/relationships/hyperlink" Target="http://www.legis.state.tx.us/tlodocs/86R/billtext/html/HB03041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