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E. BENEFITS PAYABLE UNDER HEALTH COVERAGES</w:t>
      </w:r>
    </w:p>
    <w:p w:rsidR="003F3435" w:rsidRDefault="0032493E">
      <w:pPr>
        <w:spacing w:line="480" w:lineRule="auto"/>
        <w:jc w:val="center"/>
      </w:pPr>
      <w:r>
        <w:t xml:space="preserve">CHAPTER 1353. IMMUNIZATION OR VACCINATION PROTOCOLS UNDER MANAGED CARE PLANS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1353.001.</w:t>
      </w:r>
      <w:r xml:space="preserve">
        <w:t> </w:t>
      </w:r>
      <w:r xml:space="preserve">
        <w:t> </w:t>
      </w:r>
      <w:r>
        <w:t xml:space="preserve">PROHIBITED CONDUCT.  A managed care entity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require a physician participating in a managed care plan to issue an immunization or vaccination protocol for an immunization or vaccination to be administered to an enrollee in the plan;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limit an enrollee's benefits for immunizations or vaccinations to circumstances in which an immunization or vaccination protocol is issued;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provide a financial incentive to a physician to issue an immunization or vaccination protocol;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impose a financial or other penalty on a physician who refuses to issue an immunization or vaccination protocol.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1353.002.</w:t>
      </w:r>
      <w:r xml:space="preserve">
        <w:t> </w:t>
      </w:r>
      <w:r xml:space="preserve">
        <w:t> </w:t>
      </w:r>
      <w:r>
        <w:t xml:space="preserve">RULES.  The commissioner may adopt rules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