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E. BENEFITS PAYABLE UNDER HEALTH COVERAGES</w:t>
      </w:r>
    </w:p>
    <w:p w:rsidR="003F3435" w:rsidRDefault="0032493E">
      <w:pPr>
        <w:spacing w:line="480" w:lineRule="auto"/>
        <w:jc w:val="center"/>
      </w:pPr>
      <w:r>
        <w:t xml:space="preserve">CHAPTER 1361. DETECTION AND PREVENTION OF OSTEOPOROSIS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1361.001.</w:t>
      </w:r>
      <w:r xml:space="preserve">
        <w:t> </w:t>
      </w:r>
      <w:r xml:space="preserve">
        <w:t> </w:t>
      </w:r>
      <w:r>
        <w:t xml:space="preserve">DEFINITION.  In this chapter, "qualified enrollee" means an individual entitled to coverage under a group health benefit plan who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postmenopausal woman who is not receiving estrogen replacement therapy;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individual with: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vertebral abnormalities;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primary hyperparathyroidism;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history of bone fractures;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individual who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receiving long-term glucocorticoid therapy;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being monitored to assess the response to or efficacy of an approved osteoporosis drug therapy.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1361.002.</w:t>
      </w:r>
      <w:r xml:space="preserve">
        <w:t> </w:t>
      </w:r>
      <w:r xml:space="preserve">
        <w:t> </w:t>
      </w:r>
      <w:r>
        <w:t xml:space="preserve">APPLICABILITY OF CHAPTER.  This chapter applies only to a group health benefit plan delivered, issued for delivery, or renewed in this state that provides coverage for medical or surgical expenses incurred as a result of accident or sickness,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group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group contract issued by a group hospital service corporation operating under Chapter </w:t>
      </w:r>
      <w:r>
        <w:t xml:space="preserve">842</w:t>
      </w:r>
      <w:r>
        <w:t xml:space="preserve">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group contract issued by a health maintenance organization operating under Chapter </w:t>
      </w:r>
      <w:r>
        <w:t xml:space="preserve">843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1361.003.</w:t>
      </w:r>
      <w:r xml:space="preserve">
        <w:t> </w:t>
      </w:r>
      <w:r xml:space="preserve">
        <w:t> </w:t>
      </w:r>
      <w:r>
        <w:t xml:space="preserve">COVERAGE REQUIRED.  A group health benefit plan must provide to a qualified enrollee coverage for medically accepted bone mass measurement to detect low bone mass and to determine the enrollee's risk of osteoporosis and fractures associated with osteoporosis.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