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1372.  COVERAGE FOR BIOMARKER TESTING</w:t>
      </w:r>
    </w:p>
    <w:p w:rsidR="003F3435" w:rsidRDefault="0032493E">
      <w:pPr>
        <w:spacing w:line="480" w:lineRule="auto"/>
        <w:jc w:val="both"/>
      </w:pPr>
      <w:r>
        <w:t xml:space="preserve">                </w:t>
      </w:r>
    </w:p>
    <w:p w:rsidR="003F3435" w:rsidRDefault="0032493E">
      <w:pPr>
        <w:spacing w:line="480" w:lineRule="auto"/>
        <w:ind w:firstLine="720"/>
        <w:jc w:val="both"/>
      </w:pPr>
      <w:r>
        <w:t xml:space="preserve">Sec. 1372.001.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"Biomarker" means a characteristic that is objectively measured and evaluated as an indicator of normal biological processes, pathogenic processes, or pharmacologic responses to a specific therapeutic intervention. The term includes:</w:t>
      </w:r>
    </w:p>
    <w:p w:rsidR="003F3435" w:rsidRDefault="0032493E">
      <w:pPr>
        <w:spacing w:line="480" w:lineRule="auto"/>
        <w:ind w:firstLine="2160"/>
        <w:jc w:val="both"/>
      </w:pPr>
      <w:r>
        <w:t xml:space="preserve">(A)</w:t>
      </w:r>
      <w:r xml:space="preserve">
        <w:t> </w:t>
      </w:r>
      <w:r xml:space="preserve">
        <w:t> </w:t>
      </w:r>
      <w:r>
        <w:t xml:space="preserve">gene mutations; and</w:t>
      </w:r>
    </w:p>
    <w:p w:rsidR="003F3435" w:rsidRDefault="0032493E">
      <w:pPr>
        <w:spacing w:line="480" w:lineRule="auto"/>
        <w:ind w:firstLine="2160"/>
        <w:jc w:val="both"/>
      </w:pPr>
      <w:r>
        <w:t xml:space="preserve">(B)</w:t>
      </w:r>
      <w:r xml:space="preserve">
        <w:t> </w:t>
      </w:r>
      <w:r xml:space="preserve">
        <w:t> </w:t>
      </w:r>
      <w:r>
        <w:t xml:space="preserve">protein expression.</w:t>
      </w:r>
    </w:p>
    <w:p w:rsidR="003F3435" w:rsidRDefault="0032493E">
      <w:pPr>
        <w:spacing w:line="480" w:lineRule="auto"/>
        <w:ind w:firstLine="1440"/>
        <w:jc w:val="both"/>
      </w:pPr>
      <w:r>
        <w:t xml:space="preserve">(2)</w:t>
      </w:r>
      <w:r xml:space="preserve">
        <w:t> </w:t>
      </w:r>
      <w:r xml:space="preserve">
        <w:t> </w:t>
      </w:r>
      <w:r>
        <w:t xml:space="preserve">"Biomarker testing" means the analysis of a patient's tissue, blood, or other biospecimen for the presence of a biomarker.</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single-analyte tests;</w:t>
      </w:r>
    </w:p>
    <w:p w:rsidR="003F3435" w:rsidRDefault="0032493E">
      <w:pPr>
        <w:spacing w:line="480" w:lineRule="auto"/>
        <w:ind w:firstLine="2160"/>
        <w:jc w:val="both"/>
      </w:pPr>
      <w:r>
        <w:t xml:space="preserve">(B)</w:t>
      </w:r>
      <w:r xml:space="preserve">
        <w:t> </w:t>
      </w:r>
      <w:r xml:space="preserve">
        <w:t> </w:t>
      </w:r>
      <w:r>
        <w:t xml:space="preserve">multiplex panel tests; and</w:t>
      </w:r>
    </w:p>
    <w:p w:rsidR="003F3435" w:rsidRDefault="0032493E">
      <w:pPr>
        <w:spacing w:line="480" w:lineRule="auto"/>
        <w:ind w:firstLine="2160"/>
        <w:jc w:val="both"/>
      </w:pPr>
      <w:r>
        <w:t xml:space="preserve">(C)</w:t>
      </w:r>
      <w:r xml:space="preserve">
        <w:t> </w:t>
      </w:r>
      <w:r xml:space="preserve">
        <w:t> </w:t>
      </w:r>
      <w:r>
        <w:t xml:space="preserve">whole genome sequencing.</w:t>
      </w:r>
    </w:p>
    <w:p w:rsidR="003F3435" w:rsidRDefault="0032493E">
      <w:pPr>
        <w:spacing w:line="480" w:lineRule="auto"/>
        <w:ind w:firstLine="1440"/>
        <w:jc w:val="both"/>
      </w:pPr>
      <w:r>
        <w:t xml:space="preserve">(3)</w:t>
      </w:r>
      <w:r xml:space="preserve">
        <w:t> </w:t>
      </w:r>
      <w:r xml:space="preserve">
        <w:t> </w:t>
      </w:r>
      <w:r>
        <w:t xml:space="preserve">"Consensus statements" means statements that:</w:t>
      </w:r>
    </w:p>
    <w:p w:rsidR="003F3435" w:rsidRDefault="0032493E">
      <w:pPr>
        <w:spacing w:line="480" w:lineRule="auto"/>
        <w:ind w:firstLine="2160"/>
        <w:jc w:val="both"/>
      </w:pPr>
      <w:r>
        <w:t xml:space="preserve">(A)</w:t>
      </w:r>
      <w:r xml:space="preserve">
        <w:t> </w:t>
      </w:r>
      <w:r xml:space="preserve">
        <w:t> </w:t>
      </w:r>
      <w:r>
        <w:t xml:space="preserve">address specific clinical circumstances based on the best available evidence for the purpose of optimizing clinical care outcomes; and</w:t>
      </w:r>
    </w:p>
    <w:p w:rsidR="003F3435" w:rsidRDefault="0032493E">
      <w:pPr>
        <w:spacing w:line="480" w:lineRule="auto"/>
        <w:ind w:firstLine="2160"/>
        <w:jc w:val="both"/>
      </w:pPr>
      <w:r>
        <w:t xml:space="preserve">(B)</w:t>
      </w:r>
      <w:r xml:space="preserve">
        <w:t> </w:t>
      </w:r>
      <w:r xml:space="preserve">
        <w:t> </w:t>
      </w:r>
      <w:r>
        <w:t xml:space="preserve">are developed by an independent, multidisciplinary panel of experts that uses a transparent methodology and reporting structure and is subject to a conflict of interest policy.</w:t>
      </w:r>
    </w:p>
    <w:p w:rsidR="003F3435" w:rsidRDefault="0032493E">
      <w:pPr>
        <w:spacing w:line="480" w:lineRule="auto"/>
        <w:ind w:firstLine="1440"/>
        <w:jc w:val="both"/>
      </w:pPr>
      <w:r>
        <w:t xml:space="preserve">(4)</w:t>
      </w:r>
      <w:r xml:space="preserve">
        <w:t> </w:t>
      </w:r>
      <w:r xml:space="preserve">
        <w:t> </w:t>
      </w:r>
      <w:r>
        <w:t xml:space="preserve">"Nationally recognized clinical practice guidelines" means evidence-based clinical practice guidelines that:</w:t>
      </w:r>
    </w:p>
    <w:p w:rsidR="003F3435" w:rsidRDefault="0032493E">
      <w:pPr>
        <w:spacing w:line="480" w:lineRule="auto"/>
        <w:ind w:firstLine="2160"/>
        <w:jc w:val="both"/>
      </w:pPr>
      <w:r>
        <w:t xml:space="preserve">(A)</w:t>
      </w:r>
      <w:r xml:space="preserve">
        <w:t> </w:t>
      </w:r>
      <w:r xml:space="preserve">
        <w:t> </w:t>
      </w:r>
      <w:r>
        <w:t xml:space="preserve">establish a standard of care informed by a systematic review of evidence and an assessment of the benefits and costs of alternative care options;</w:t>
      </w:r>
    </w:p>
    <w:p w:rsidR="003F3435" w:rsidRDefault="0032493E">
      <w:pPr>
        <w:spacing w:line="480" w:lineRule="auto"/>
        <w:ind w:firstLine="2160"/>
        <w:jc w:val="both"/>
      </w:pPr>
      <w:r>
        <w:t xml:space="preserve">(B)</w:t>
      </w:r>
      <w:r xml:space="preserve">
        <w:t> </w:t>
      </w:r>
      <w:r xml:space="preserve">
        <w:t> </w:t>
      </w:r>
      <w:r>
        <w:t xml:space="preserve">include recommendations intended to optimize patient care; and</w:t>
      </w:r>
    </w:p>
    <w:p w:rsidR="003F3435" w:rsidRDefault="0032493E">
      <w:pPr>
        <w:spacing w:line="480" w:lineRule="auto"/>
        <w:ind w:firstLine="2160"/>
        <w:jc w:val="both"/>
      </w:pPr>
      <w:r>
        <w:t xml:space="preserve">(C)</w:t>
      </w:r>
      <w:r xml:space="preserve">
        <w:t> </w:t>
      </w:r>
      <w:r xml:space="preserve">
        <w:t> </w:t>
      </w:r>
      <w:r>
        <w:t xml:space="preserve">are developed by an independent organization or medical professional society that uses a transparent methodology and reporting structure and is subject to a conflict of interest policy.</w:t>
      </w:r>
    </w:p>
    <w:p w:rsidR="003F3435" w:rsidRDefault="0032493E">
      <w:pPr>
        <w:spacing w:line="480" w:lineRule="auto"/>
        <w:jc w:val="both"/>
      </w:pPr>
      <w:r>
        <w:t xml:space="preserve">Added by Acts 2023, 88th Leg., R.S., Ch. 279 (S.B. </w:t>
      </w:r>
      <w:hyperlink w:docLocation="table" r:id="rId14">
        <w:r>
          <w:rPr>
            <w:rStyle w:val="Hyperlink"/>
          </w:rPr>
          <w:t>989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1372.002.</w:t>
      </w:r>
      <w:r xml:space="preserve">
        <w:t> </w:t>
      </w:r>
      <w:r xml:space="preserve">
        <w:t> </w:t>
      </w:r>
      <w:r>
        <w:t xml:space="preserve">APPLICABILITY OF CHAPTER.  (a)</w:t>
      </w:r>
      <w:r xml:space="preserve">
        <w:t> </w:t>
      </w:r>
      <w:r xml:space="preserve">
        <w:t> </w:t>
      </w:r>
      <w:r>
        <w:t xml:space="preserve">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(4)</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(5)</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(6)</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(7)</w:t>
      </w:r>
      <w:r xml:space="preserve">
        <w:t> </w:t>
      </w:r>
      <w:r xml:space="preserve">
        <w:t> </w:t>
      </w:r>
      <w:r>
        <w:t xml:space="preserve">the state Medicaid program, including the Medicaid managed care program operated under Chapter </w:t>
      </w:r>
      <w:r>
        <w:t xml:space="preserve">533</w:t>
      </w:r>
      <w:r>
        <w:t xml:space="preserve">, Government Code;</w:t>
      </w:r>
    </w:p>
    <w:p w:rsidR="003F3435" w:rsidRDefault="0032493E">
      <w:pPr>
        <w:spacing w:line="480" w:lineRule="auto"/>
        <w:ind w:firstLine="1440"/>
        <w:jc w:val="both"/>
      </w:pPr>
      <w:r>
        <w:t xml:space="preserve">(8)</w:t>
      </w:r>
      <w:r xml:space="preserve">
        <w:t> </w:t>
      </w:r>
      <w:r xml:space="preserve">
        <w:t> </w:t>
      </w:r>
      <w:r>
        <w:t xml:space="preserve">the child health plan program under Chapter </w:t>
      </w:r>
      <w:r>
        <w:t xml:space="preserve">62</w:t>
      </w:r>
      <w:r>
        <w:t xml:space="preserve">, Health and Safety Code; and</w:t>
      </w:r>
    </w:p>
    <w:p w:rsidR="003F3435" w:rsidRDefault="0032493E">
      <w:pPr>
        <w:spacing w:line="480" w:lineRule="auto"/>
        <w:ind w:firstLine="1440"/>
        <w:jc w:val="both"/>
      </w:pPr>
      <w:r>
        <w:t xml:space="preserve">(9)</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jc w:val="both"/>
      </w:pPr>
      <w:r>
        <w:t xml:space="preserve">Added by Acts 2023, 88th Leg., R.S., Ch. 279 (S.B. </w:t>
      </w:r>
      <w:hyperlink w:docLocation="table" r:id="rId15">
        <w:r>
          <w:rPr>
            <w:rStyle w:val="Hyperlink"/>
          </w:rPr>
          <w:t>989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1372.003.</w:t>
      </w:r>
      <w:r xml:space="preserve">
        <w:t> </w:t>
      </w:r>
      <w:r xml:space="preserve">
        <w:t> </w:t>
      </w:r>
      <w:r>
        <w:t xml:space="preserve">COVERAGE REQUIRED.  (a)</w:t>
      </w:r>
      <w:r xml:space="preserve">
        <w:t> </w:t>
      </w:r>
      <w:r xml:space="preserve">
        <w:t> </w:t>
      </w:r>
      <w:r>
        <w:t xml:space="preserve">Subject to Subsection (b), a health benefit plan must provide coverage for biomarker testing for the purpose of diagnosis, treatment, appropriate management, or ongoing monitoring of an enrollee's disease or condition to guide treatment when the test is supported by the following kinds of medical and scientific evidence:</w:t>
      </w:r>
    </w:p>
    <w:p w:rsidR="003F3435" w:rsidRDefault="0032493E">
      <w:pPr>
        <w:spacing w:line="480" w:lineRule="auto"/>
        <w:ind w:firstLine="1440"/>
        <w:jc w:val="both"/>
      </w:pPr>
      <w:r>
        <w:t xml:space="preserve">(1)</w:t>
      </w:r>
      <w:r xml:space="preserve">
        <w:t> </w:t>
      </w:r>
      <w:r xml:space="preserve">
        <w:t> </w:t>
      </w:r>
      <w:r>
        <w:t xml:space="preserve">a labeled indication for a test approved or cleared by the United States Food and Drug Administration;</w:t>
      </w:r>
    </w:p>
    <w:p w:rsidR="003F3435" w:rsidRDefault="0032493E">
      <w:pPr>
        <w:spacing w:line="480" w:lineRule="auto"/>
        <w:ind w:firstLine="1440"/>
        <w:jc w:val="both"/>
      </w:pPr>
      <w:r>
        <w:t xml:space="preserve">(2)</w:t>
      </w:r>
      <w:r xml:space="preserve">
        <w:t> </w:t>
      </w:r>
      <w:r xml:space="preserve">
        <w:t> </w:t>
      </w:r>
      <w:r>
        <w:t xml:space="preserve">an indicated test for a drug approved by the United States Food and Drug Administration;</w:t>
      </w:r>
    </w:p>
    <w:p w:rsidR="003F3435" w:rsidRDefault="0032493E">
      <w:pPr>
        <w:spacing w:line="480" w:lineRule="auto"/>
        <w:ind w:firstLine="1440"/>
        <w:jc w:val="both"/>
      </w:pPr>
      <w:r>
        <w:t xml:space="preserve">(3)</w:t>
      </w:r>
      <w:r xml:space="preserve">
        <w:t> </w:t>
      </w:r>
      <w:r xml:space="preserve">
        <w:t> </w:t>
      </w:r>
      <w:r>
        <w:t xml:space="preserve">a national coverage determination made by the Centers for Medicare and Medicaid Services or a local coverage determination made by a Medicare administrative contractor;</w:t>
      </w:r>
    </w:p>
    <w:p w:rsidR="003F3435" w:rsidRDefault="0032493E">
      <w:pPr>
        <w:spacing w:line="480" w:lineRule="auto"/>
        <w:ind w:firstLine="1440"/>
        <w:jc w:val="both"/>
      </w:pPr>
      <w:r>
        <w:t xml:space="preserve">(4)</w:t>
      </w:r>
      <w:r xml:space="preserve">
        <w:t> </w:t>
      </w:r>
      <w:r xml:space="preserve">
        <w:t> </w:t>
      </w:r>
      <w:r>
        <w:t xml:space="preserve">nationally recognized clinical practice guidelines; or</w:t>
      </w:r>
    </w:p>
    <w:p w:rsidR="003F3435" w:rsidRDefault="0032493E">
      <w:pPr>
        <w:spacing w:line="480" w:lineRule="auto"/>
        <w:ind w:firstLine="1440"/>
        <w:jc w:val="both"/>
      </w:pPr>
      <w:r>
        <w:t xml:space="preserve">(5)</w:t>
      </w:r>
      <w:r xml:space="preserve">
        <w:t> </w:t>
      </w:r>
      <w:r xml:space="preserve">
        <w:t> </w:t>
      </w:r>
      <w:r>
        <w:t xml:space="preserve">consensus statements.</w:t>
      </w:r>
    </w:p>
    <w:p w:rsidR="003F3435" w:rsidRDefault="0032493E">
      <w:pPr>
        <w:spacing w:line="480" w:lineRule="auto"/>
        <w:ind w:firstLine="720"/>
        <w:jc w:val="both"/>
      </w:pPr>
      <w:r>
        <w:t xml:space="preserve">(b)</w:t>
      </w:r>
      <w:r xml:space="preserve">
        <w:t> </w:t>
      </w:r>
      <w:r xml:space="preserve">
        <w:t> </w:t>
      </w:r>
      <w:r>
        <w:t xml:space="preserve">A health benefit plan issuer must provide coverage under Subsection (a) only when use of biomarker testing provides clinical utility because use of the test for the condition:</w:t>
      </w:r>
    </w:p>
    <w:p w:rsidR="003F3435" w:rsidRDefault="0032493E">
      <w:pPr>
        <w:spacing w:line="480" w:lineRule="auto"/>
        <w:ind w:firstLine="1440"/>
        <w:jc w:val="both"/>
      </w:pPr>
      <w:r>
        <w:t xml:space="preserve">(1)</w:t>
      </w:r>
      <w:r xml:space="preserve">
        <w:t> </w:t>
      </w:r>
      <w:r xml:space="preserve">
        <w:t> </w:t>
      </w:r>
      <w:r>
        <w:t xml:space="preserve">is evidence-based;</w:t>
      </w:r>
    </w:p>
    <w:p w:rsidR="003F3435" w:rsidRDefault="0032493E">
      <w:pPr>
        <w:spacing w:line="480" w:lineRule="auto"/>
        <w:ind w:firstLine="1440"/>
        <w:jc w:val="both"/>
      </w:pPr>
      <w:r>
        <w:t xml:space="preserve">(2)</w:t>
      </w:r>
      <w:r xml:space="preserve">
        <w:t> </w:t>
      </w:r>
      <w:r xml:space="preserve">
        <w:t> </w:t>
      </w:r>
      <w:r>
        <w:t xml:space="preserve">is scientifically valid based on the medical and scientific evidence described by Subsection (a);</w:t>
      </w:r>
    </w:p>
    <w:p w:rsidR="003F3435" w:rsidRDefault="0032493E">
      <w:pPr>
        <w:spacing w:line="480" w:lineRule="auto"/>
        <w:ind w:firstLine="1440"/>
        <w:jc w:val="both"/>
      </w:pPr>
      <w:r>
        <w:t xml:space="preserve">(3)</w:t>
      </w:r>
      <w:r xml:space="preserve">
        <w:t> </w:t>
      </w:r>
      <w:r xml:space="preserve">
        <w:t> </w:t>
      </w:r>
      <w:r>
        <w:t xml:space="preserve">informs a patient's outcome and a provider's clinical decision; and</w:t>
      </w:r>
    </w:p>
    <w:p w:rsidR="003F3435" w:rsidRDefault="0032493E">
      <w:pPr>
        <w:spacing w:line="480" w:lineRule="auto"/>
        <w:ind w:firstLine="1440"/>
        <w:jc w:val="both"/>
      </w:pPr>
      <w:r>
        <w:t xml:space="preserve">(4)</w:t>
      </w:r>
      <w:r xml:space="preserve">
        <w:t> </w:t>
      </w:r>
      <w:r xml:space="preserve">
        <w:t> </w:t>
      </w:r>
      <w:r>
        <w:t xml:space="preserve">predominately addresses the acute or chronic issue for which the test is being ordered, except that a test may include some information that cannot be immediately used in the formulation of a clinical decision.</w:t>
      </w:r>
    </w:p>
    <w:p w:rsidR="003F3435" w:rsidRDefault="0032493E">
      <w:pPr>
        <w:spacing w:line="480" w:lineRule="auto"/>
        <w:ind w:firstLine="720"/>
        <w:jc w:val="both"/>
      </w:pPr>
      <w:r>
        <w:t xml:space="preserve">(c)</w:t>
      </w:r>
      <w:r xml:space="preserve">
        <w:t> </w:t>
      </w:r>
      <w:r xml:space="preserve">
        <w:t> </w:t>
      </w:r>
      <w:r>
        <w:t xml:space="preserve">A health benefit plan must provide coverage under Subsection (a) in a manner that limits disruptions in care, including limiting the number of biopsies and biospecimen samples.</w:t>
      </w:r>
    </w:p>
    <w:p w:rsidR="003F3435" w:rsidRDefault="0032493E">
      <w:pPr>
        <w:spacing w:line="480" w:lineRule="auto"/>
        <w:jc w:val="both"/>
      </w:pPr>
      <w:r>
        <w:t xml:space="preserve">Added by Acts 2023, 88th Leg., R.S., Ch. 279 (S.B. </w:t>
      </w:r>
      <w:hyperlink w:docLocation="table" r:id="rId16">
        <w:r>
          <w:rPr>
            <w:rStyle w:val="Hyperlink"/>
          </w:rPr>
          <w:t>989</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0989F.HTM" TargetMode="External" Id="rId14" /><Relationship Type="http://schemas.openxmlformats.org/officeDocument/2006/relationships/hyperlink" Target="http://www.legis.state.tx.us/tlodocs/88R/billtext/html/SB00989F.HTM" TargetMode="External" Id="rId15" /><Relationship Type="http://schemas.openxmlformats.org/officeDocument/2006/relationships/hyperlink" Target="http://www.legis.state.tx.us/tlodocs/88R/billtext/html/SB0098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